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 La piste est enfin REVUE, et la revue est un enregistrement signé : chaque revue couvre une plage de RANGS — jamais de dates — et commence exactement au rang qui suit la précédente, si bien qu'aucune entrée ne peut s'écrire dans l'intervalle entre deux revues ; toute lacune de couverture est calculée et affichée. Des règles de triage risque-fondées désignent les entrées à lire une à une (sécurité, suppression, annulation, habilitations, réglages de l'organisation, sortie de données, import en masse, réouverture d'un enregistrement publié, revue défaite, écriture non attribuée) ; le reste est compté, et l'enregistrement le dit ainsi plutôt que de laisser croire à une lecture ligne à ligne. Chaque entrée retenue reçoit un verdict motivé, la clôture exige la ressaisie du mot de passe et recopie l'empreinte du contenu revu, et l'écart entre le dernier rang couvert et la tête de piste est affiché en permanence sur l'écran du journal.</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 Déclarer la FRÉQUENCE de revue — Filum n'en impose aucune, la bonne période dépendant de votre volume d'activité — et porter le jugement : Filum présente et consigne, il ne sait pas distinguer une modification légitime d'une modification suspecte. Décider aussi si l'indépendance du relecteur est suffisante : elle est mesurée et consignée sur chaque revue, jamais imposée.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47 exigences de validation, 44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44 cas sur 44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2026-08-09T12:14:34.970Z</dcterms:created>
  <dcterms:modified xsi:type="dcterms:W3CDTF">2026-08-09T12:14:34.971Z</dcterms:modified>
</cp:coreProperties>
</file>

<file path=docProps/custom.xml><?xml version="1.0" encoding="utf-8"?>
<Properties xmlns="http://schemas.openxmlformats.org/officeDocument/2006/custom-properties" xmlns:vt="http://schemas.openxmlformats.org/officeDocument/2006/docPropsVTypes"/>
</file>