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31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Analyse de risque logiciel</w:t>
      </w:r>
    </w:p>
    <w:p>
      <w:pPr>
        <w:spacing w:after="140"/>
      </w:pPr>
      <w:r>
        <w:rPr>
          <w:sz w:val="20"/>
          <w:szCs w:val="20"/>
        </w:rPr>
        <w:t xml:space="preserve">Répartition : 21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4 août 2026 à 16:04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28 cas sur 28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(fc5550566f42… ≠ 96440da417cf…),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cmseumrd…, empreinte attestée 3767 CD80 ACC9, manifestation « Testeur QA1 (QA1) · Approuvé · 04/08/2026 16:04:52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510cd0bd33020b04…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2036-08-04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173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173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31 exigences, 27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4 août 2026 à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2026-08-04T20:15:50.662Z</dcterms:created>
  <dcterms:modified xsi:type="dcterms:W3CDTF">2026-08-04T20:15:50.662Z</dcterms:modified>
</cp:coreProperties>
</file>

<file path=docProps/custom.xml><?xml version="1.0" encoding="utf-8"?>
<Properties xmlns="http://schemas.openxmlformats.org/officeDocument/2006/custom-properties" xmlns:vt="http://schemas.openxmlformats.org/officeDocument/2006/docPropsVTypes"/>
</file>