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47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contrôles de qualité d'énoncé sont DÉTERMINISTES et sans effet de bord : ils s'exécutent sans clé d'API et sans accès réseau, rendent le même résultat pour le même énoncé, citent le fragment fautif tel qu'il a été écrit, n'écrivent jamais dans l'enregistrement et n'empêchent jamais de l'enregistrer.</w:t>
            </w:r>
          </w:p>
        </w:tc>
        <w:tc>
          <w:tcPr>
            <w:tcW w:type="pct" w:w="28%"/>
            <w:tcMar>
              <w:top w:type="dxa" w:w="80"/>
              <w:left w:type="dxa" w:w="110"/>
              <w:bottom w:type="dxa" w:w="80"/>
              <w:right w:type="dxa" w:w="110"/>
            </w:tcMar>
          </w:tcPr>
          <w:p>
            <w:pPr>
              <w:spacing w:after="0"/>
            </w:pPr>
            <w:r>
              <w:rPr>
                <w:sz w:val="17"/>
                <w:szCs w:val="17"/>
              </w:rPr>
              <w:t xml:space="preserve">Un contrôle qui réécrirait l'énoncé changerait l'auteur d'un enregistrement sans que personne l'ait décidé — l'attribution ALCOA+ tomberait. Un contrôle qui bloquerait l'enregistrement serait contourné en retirant le mot déclencheur, et deviendrait une décoration qui donne l'illusion d'une maîtrise. Un contrôle dépendant d'un modèle de langue ne rendrait pas deux fois le même verdict et ne pourrait pas être qualifié.</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classeur .xlsx et un document .docx sont lus sans conversion préalable : chaque tableau est restitué avec ses en-têtes d'origine, les cellules vides conservent leur position, et le tableau retenu passe par le MÊME aperçu à blanc que le CSV. Les valeurs d'énumération sont ramenées aux valeurs internes, quelle que soit la langue du fichier ; une valeur non reconnue est signalée et ignorée, jamais stockée telle quelle.</w:t>
            </w:r>
          </w:p>
        </w:tc>
        <w:tc>
          <w:tcPr>
            <w:tcW w:type="pct" w:w="28%"/>
            <w:tcMar>
              <w:top w:type="dxa" w:w="80"/>
              <w:left w:type="dxa" w:w="110"/>
              <w:bottom w:type="dxa" w:w="80"/>
              <w:right w:type="dxa" w:w="110"/>
            </w:tcMar>
          </w:tcPr>
          <w:p>
            <w:pPr>
              <w:spacing w:after="0"/>
            </w:pPr>
            <w:r>
              <w:rPr>
                <w:sz w:val="17"/>
                <w:szCs w:val="17"/>
              </w:rPr>
              <w:t xml:space="preserve">Une cellule vide non conservée décale toutes les suivantes : la justification d'une exigence se retrouve dans le sous-système, et rien ne le signale — c'est le défaut le plus silencieux qu'un import puisse produire. Une valeur d'énumération stockée telle quelle est aussi grave dans l'autre sens : une exigence « Haute » importée d'un fichier français s'affiche comme faible et sort des filtres de criticité, si bien que l'exigence la plus critique du dossier devient la moins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dossier technique exporté indexe le contenu du programme sur le référentiel de diagnostic — le MÊME que celui de la trame remise en amont — et déduit chaque statut du graphe, jamais d'une saisie. Les éléments hors du périmètre de Filum sont nommés comme tels avec la source dont ils doivent venir, et l'index ne peut pas contredire le paquet qu'il indexe. L'export est journalisé avec l'état de l'index au moment où il sort.</w:t>
            </w:r>
          </w:p>
        </w:tc>
        <w:tc>
          <w:tcPr>
            <w:tcW w:type="pct" w:w="28%"/>
            <w:tcMar>
              <w:top w:type="dxa" w:w="80"/>
              <w:left w:type="dxa" w:w="110"/>
              <w:bottom w:type="dxa" w:w="80"/>
              <w:right w:type="dxa" w:w="110"/>
            </w:tcMar>
          </w:tcPr>
          <w:p>
            <w:pPr>
              <w:spacing w:after="0"/>
            </w:pPr>
            <w:r>
              <w:rPr>
                <w:sz w:val="17"/>
                <w:szCs w:val="17"/>
              </w:rPr>
              <w:t xml:space="preserve">Un index qui annonce « aucune revue de conception » pendant que la revue figure trois lignes plus bas dans le même paquet détruit la crédibilité de tout le dossier devant un inspecteur — et c'est un défaut silencieux, puisque l'index a l'air complet. Un index qui tairait les éléments hors périmètre serait pire encore : il laisserait croire à un dossier technique complet là où il n'y a que la conception, et l'écart serait découvert par l'auditeur plutôt que par le fabricant.</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base est en journalisation WAL, et le passage est appliqué au démarrage de façon idempotente. Le volume des fichiers est en AJOUT SEUL : aucun chemin du logiciel n'y supprime ni n'y écrase. Un contrôle relit chaque pièce référencée par la base et distingue une pièce ABSENTE — fichiers en retard sur la base — d'une pièce ALTÉRÉE — octets changés hors du logiciel.</w:t>
            </w:r>
          </w:p>
        </w:tc>
        <w:tc>
          <w:tcPr>
            <w:tcW w:type="pct" w:w="28%"/>
            <w:tcMar>
              <w:top w:type="dxa" w:w="80"/>
              <w:left w:type="dxa" w:w="110"/>
              <w:bottom w:type="dxa" w:w="80"/>
              <w:right w:type="dxa" w:w="110"/>
            </w:tcMar>
          </w:tcPr>
          <w:p>
            <w:pPr>
              <w:spacing w:after="0"/>
            </w:pPr>
            <w:r>
              <w:rPr>
                <w:sz w:val="17"/>
                <w:szCs w:val="17"/>
              </w:rPr>
              <w:t xml:space="preserve">La réplication continue ne réplique que la base. Sans la propriété d'ajout seul du volume des fichiers, aucune règle d'ordre de restauration ne serait sûre, et une restauration produirait des enregistrements approuvés dont les octets manquent — un dossier réglementaire amputé sans que rien ne le signale. Sans WAL, une installation « avec réplication » répliquerait du vide. Et confondre une pièce absente avec une pièce altérée ferait traiter une atteinte à l'intégrité comme un incident d'exploitation.</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Une installation déclarée « démonstration » annonce sur CHAQUE écran, y compris avant toute connexion, qu'elle porte des données fictives, qu'elle est effacée périodiquement, et qu'elle n'est pas une installation qualifiée. L'avertissement ne se ferme pas. Le mode est éteint par défaut et n'accepte qu'une valeur explicite. Il ne modifie RIEN de ce que le logiciel enregistre : aucun module produisant des données ou des documents n'en dépend.</w:t>
            </w:r>
          </w:p>
        </w:tc>
        <w:tc>
          <w:tcPr>
            <w:tcW w:type="pct" w:w="28%"/>
            <w:tcMar>
              <w:top w:type="dxa" w:w="80"/>
              <w:left w:type="dxa" w:w="110"/>
              <w:bottom w:type="dxa" w:w="80"/>
              <w:right w:type="dxa" w:w="110"/>
            </w:tcMar>
          </w:tcPr>
          <w:p>
            <w:pPr>
              <w:spacing w:after="0"/>
            </w:pPr>
            <w:r>
              <w:rPr>
                <w:sz w:val="17"/>
                <w:szCs w:val="17"/>
              </w:rPr>
              <w:t xml:space="preserve">Une instance publique est identique à une vraie — c'est l'intérêt même d'une démonstration, et c'est ce qui la rend trompeuse. Un visiteur qui y dépose un dossier de conception réel le rend public ET le perd à la remise à zéro suivante ; un visiteur qui prend l'instance pour une installation qualifiée s'appuie sur des signatures qui ne valent rien. L'avertissement doit donc apparaître AVANT la connexion, puisque c'est là que la décision de déposer un fichier se prend. En sens inverse, un mode qui s'allumerait par une variable mal recopiée ferait porter « données fictives » à toutes les captures d'écran du dossier de validation d'un client.</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vue par programme porte une ligne pour ce qui n'est rattaché à AUCUN programme, et rapproche chaque indicateur d'un total demandé séparément à la base — jamais obtenu en additionnant ses propres lignes. Tout écart est affiché au lieu d'être tu. Les documents dont le programme contredit celui de leur activité sont nommés. La règle « exigence couverte » y est celle du reste du produit.</w:t>
            </w:r>
          </w:p>
        </w:tc>
        <w:tc>
          <w:tcPr>
            <w:tcW w:type="pct" w:w="28%"/>
            <w:tcMar>
              <w:top w:type="dxa" w:w="80"/>
              <w:left w:type="dxa" w:w="110"/>
              <w:bottom w:type="dxa" w:w="80"/>
              <w:right w:type="dxa" w:w="110"/>
            </w:tcMar>
          </w:tcPr>
          <w:p>
            <w:pPr>
              <w:spacing w:after="0"/>
            </w:pPr>
            <w:r>
              <w:rPr>
                <w:sz w:val="17"/>
                <w:szCs w:val="17"/>
              </w:rPr>
              <w:t xml:space="preserve">Le rattachement à un programme est facultatif presque partout dans le schéma. Un tableau qui ne listerait que les programmes montrerait donc une organisation en ordre pendant qu'une partie du dossier n'y figure nulle part — chaque ligne étant juste prise séparément, personne ne le verrait. C'est la faute déjà commise ici avec un taux de couverture à 100 % affiché au-dessus de trente-sept exigences que rien ne couvrait : le taux était juste, son dénominateur ne l'était pas. Un tableau qui se contrôlerait en additionnant ses propres lignes ne pourrait jamais se contredire, donc ne prouverait rien. Et une seconde définition de « couverte » ferait dire à l'écran autre chose qu'au dossier technique exporté, sans qu'on puisse savoir lequel ment.</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reprise d'un classeur ou d'un document déplie les cellules fusionnées : la valeur d'une fusion verticale est reprise sur les lignes qu'elle couvre, et une fusion horizontale ne décale aucune colonne sans être recopiée dans les champs voisins. Les feuilles sont nommées quel que soit le producteur du fichier. Les dates sont rendues lisibles. Une formule sans valeur calculée est comptée et signalée au lieu de rendre une cellule vide. Tout ce que l'extraction a fait ou n'a pas pu faire est affiché AVANT le choix du tableau.</w:t>
            </w:r>
          </w:p>
        </w:tc>
        <w:tc>
          <w:tcPr>
            <w:tcW w:type="pct" w:w="28%"/>
            <w:tcMar>
              <w:top w:type="dxa" w:w="80"/>
              <w:left w:type="dxa" w:w="110"/>
              <w:bottom w:type="dxa" w:w="80"/>
              <w:right w:type="dxa" w:w="110"/>
            </w:tcMar>
          </w:tcPr>
          <w:p>
            <w:pPr>
              <w:spacing w:after="0"/>
            </w:pPr>
            <w:r>
              <w:rPr>
                <w:sz w:val="17"/>
                <w:szCs w:val="17"/>
              </w:rPr>
              <w:t xml:space="preserve">Une matrice de traçabilité range presque toujours une exigence en face de plusieurs spécifications en fusionnant sa cellule. La valeur n'existe qu'UNE FOIS dans le fichier : sans dépliage, les lignes suivantes arrivent sans code d'exigence, et l'import les rejette — ou les crée rattachées à rien. Une fusion horizontale n'écrit qu'une cellule pour plusieurs colonnes : sans complément, toute la fin de la ligne se décale et le statut atterrit dans la colonne du responsable. Ces deux défauts sont SILENCIEUX : le fichier a l'air repris, le compte de lignes est juste, et l'erreur ne se découvre qu'à la revue du dossier. Une formule dont la valeur n'a pas été calculée produit une cellule vide qu'aucun signe ne distingue d'une cellule réellement vide.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L'authentification déléguée à un annuaire ouvre une SESSION et rien d'autre : le second composant de signature reste un secret local, redemandé à chaque apposition, et aucun module du chemin de signature ne dépend du SSO. Un jeton d'identité n'est accepté qu'après vérification de sa signature RS256, de son émetteur, de son destinataire, de sa péremption et de son nonce. Aucune personne n'est créée depuis l'annuaire. Quand l'installation n'ouvre les sessions que par l'annuaire, le refus de la connexion locale est appliqué côté serveur.</w:t>
            </w:r>
          </w:p>
        </w:tc>
        <w:tc>
          <w:tcPr>
            <w:tcW w:type="pct" w:w="28%"/>
            <w:tcMar>
              <w:top w:type="dxa" w:w="80"/>
              <w:left w:type="dxa" w:w="110"/>
              <w:bottom w:type="dxa" w:w="80"/>
              <w:right w:type="dxa" w:w="110"/>
            </w:tcMar>
          </w:tcPr>
          <w:p>
            <w:pPr>
              <w:spacing w:after="0"/>
            </w:pPr>
            <w:r>
              <w:rPr>
                <w:sz w:val="17"/>
                <w:szCs w:val="17"/>
              </w:rPr>
              <w:t xml:space="preserve">21 CFR 11.200(a)(1) exige deux composants d'identification distincts à la signature. Déléguer la connexion retire le second : l'installation ne voit plus aucun secret de l'utilisateur. Renvoyer vers l'annuaire à chaque signature ne le rétablit pas — le fournisseur peut réémettre un jeton sans avoir challengé qui que ce soit, sur la foi de sa propre session, et le logiciel n'a aucun moyen de distinguer les deux cas : on revendiquerait un composant invérifiable. Côté jeton, « alg: none » et la confusion RS256/HS256 ouvrent une session sous l'identité de n'importe qui ; un nonce non vérifié permet de rejouer un jeton obtenu ailleurs. Et créer une personne parce qu'un annuaire l'a nommée transférerait à cet annuaire la vérification d'identité du §11.100(b) et la formation du §11.10(i), rendant attribuable à quelqu'un une signature que personne n'a habilitée.</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points du logiciel dont le comportement dépend du MOTEUR de base de données — et non de la base — sont inventoriés, et l'inventaire est relu sur la source à chaque version : un point apparu hors de l'inventaire fait échouer le contrôle. Le logiciel est qualifié sur le moteur que le dossier de validation nomme, et ne revendique aucun autre.</w:t>
            </w:r>
          </w:p>
        </w:tc>
        <w:tc>
          <w:tcPr>
            <w:tcW w:type="pct" w:w="28%"/>
            <w:tcMar>
              <w:top w:type="dxa" w:w="80"/>
              <w:left w:type="dxa" w:w="110"/>
              <w:bottom w:type="dxa" w:w="80"/>
              <w:right w:type="dxa" w:w="110"/>
            </w:tcMar>
          </w:tcPr>
          <w:p>
            <w:pPr>
              <w:spacing w:after="0"/>
            </w:pPr>
            <w:r>
              <w:rPr>
                <w:sz w:val="17"/>
                <w:szCs w:val="17"/>
              </w:rPr>
              <w:t xml:space="preserve">Un moteur fournit gratuitement des propriétés que le code ne demande jamais, et qui deviennent invisibles précisément parce qu'elles fonctionnent. Le chaînage de la piste d'audit lit la tête puis écrit : la continuité des maillons repose sur le fait que le moteur n'admet qu'un écrivain à la fois, ce qui n'est écrit nulle part dans le code. Les recherches par « contains » ignorent la casse pour la même raison — sous un autre moteur elles cesseraient de trouver, sans erreur, ce qui est pire qu'une panne. Ces dépendances se découvriraient chez un client, en production, sur les fonctions qui font foi. Un inventaire rédigé dans un document se périme au premier ajout ; relu sur la source, il ne le peut pas.</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L'accès applicatif au dossier est en LECTURE SEULE : aucune route de l'API n'écrit dans le graphe de conception, et la propriété est établie en relisant la source. Chaque route passe par une garde unique qui exige un jeton, journalise l'accès au nom de ce jeton, et refuse sans distinguer un jeton absent d'un jeton révoqué. Le jeton n'est conservé que par son empreinte. Chaque réponse porte l'empreinte de ses données et l'ancrage de la chaîne d'audit à l'instant de l'extraction, selon une règle de calcul écrite dans la réponse elle-même.</w:t>
            </w:r>
          </w:p>
        </w:tc>
        <w:tc>
          <w:tcPr>
            <w:tcW w:type="pct" w:w="28%"/>
            <w:tcMar>
              <w:top w:type="dxa" w:w="80"/>
              <w:left w:type="dxa" w:w="110"/>
              <w:bottom w:type="dxa" w:w="80"/>
              <w:right w:type="dxa" w:w="110"/>
            </w:tcMar>
          </w:tcPr>
          <w:p>
            <w:pPr>
              <w:spacing w:after="0"/>
            </w:pPr>
            <w:r>
              <w:rPr>
                <w:sz w:val="17"/>
                <w:szCs w:val="17"/>
              </w:rPr>
              <w:t xml:space="preserve">Une porte d'écriture ouverte à une machine contournerait tout ce qui fait la valeur du dossier : le cycle de vie, le gel du contenu, la signature. Une donnée entrée par un script ne serait attribuable à personne, et l'affirmation « le graphe est la seule porte d'entrée » deviendrait fausse sans que rien ne le signale. La propriété doit donc être relue dans la source à chaque version, pas promise. Côté sortie, un export qui quitte le système cesse d'être vérifiable : sans empreinte le destinataire ne peut pas établir qu'il détient le document produit, et sans ancrage il ne peut pas dire à quel état du dossier il correspond — devant un écart six mois plus tard, c'est l'exploitant qui porte le doute. Et un jeton conservé en clair serait réutilisable par quiconque atteint la base, sans que personne ne le change jamais : contrairement à un mot de passe, un script ne se plaint pas.</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conformité PDF/A des copies d'archivage est établie par un VALIDATEUR INDÉPENDANT — veraPDF, l'implémentation de référence — et non par les seuls contrôles de Filum. La vérification s'exécute sur un document bâti pour la mettre en défaut, et le harnais porte un témoin délibérément non conforme : si le validateur laisse passer le témoin, aucun autre résultat de l'exécution n'est retenu. Tout caractère absent de la police embarquée est remplacé — jamais rendu par le glyphe .notdef, que le format interdit — et chaque copie DÉCLARE les substitutions qu'elle porte.</w:t>
            </w:r>
          </w:p>
        </w:tc>
        <w:tc>
          <w:tcPr>
            <w:tcW w:type="pct" w:w="28%"/>
            <w:tcMar>
              <w:top w:type="dxa" w:w="80"/>
              <w:left w:type="dxa" w:w="110"/>
              <w:bottom w:type="dxa" w:w="80"/>
              <w:right w:type="dxa" w:w="110"/>
            </w:tcMar>
          </w:tcPr>
          <w:p>
            <w:pPr>
              <w:spacing w:after="0"/>
            </w:pPr>
            <w:r>
              <w:rPr>
                <w:sz w:val="17"/>
                <w:szCs w:val="17"/>
              </w:rPr>
              <w:t xml:space="preserve">Un vérificateur écrit par l'auteur du code partage exactement ses angles morts : ce qu'on n'a pas pensé à produire, on ne pense pas non plus à le chercher. La démonstration n'est pas théorique — le contrôle structurel de Filum a déclaré conformes, du 6 au 9 août 2026, des enregistrements qui référençaient le glyphe .notdef, et veraPDF l'a trouvé au premier passage sur 4 fichiers de 15. Le risque propre n'est pas le format : c'est qu'une archive remise à une inspection porte des métadonnées affirmant une conformité que personne d'extérieur n'a mesurée. Le témoin répond au risque symétrique — un harnais qui ne sait plus dire « non conforme » rendrait un vert permanent, c'est-à-dire un garde décoratif.</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bl>
    <w:p>
      <w:pPr>
        <w:pStyle w:val="Heading2"/>
        <w:spacing w:after="140" w:before="320"/>
      </w:pPr>
      <w:r>
        <w:t xml:space="preserve">4. Analyse de risque logiciel</w:t>
      </w:r>
    </w:p>
    <w:p>
      <w:pPr>
        <w:spacing w:after="140"/>
      </w:pPr>
      <w:r>
        <w:rPr>
          <w:sz w:val="20"/>
          <w:szCs w:val="20"/>
        </w:rPr>
        <w:t xml:space="preserve">Répartition : 29 exigences à risque haut, 16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9 août 2026 à 12:37</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44 cas sur 44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(47b2ac18f25f… ≠ 29600d156a97…),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10488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cmslsfmm…, empreinte attestée 3767 CD80 ACC9, manifestation « Testeur QA1 (QA1) · Approuvé · 09/08/2026 12:37:43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10489 octets relus à l'identique ; inversion d'un octet en position 5244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(10495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172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ec36784a988a514e…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2036-08-09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35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237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57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195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237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(10462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9512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193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(124032 octets, 1 page·s) ; 30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09/08/2026 12:37:55 UTC · enregistrement 4E11 C71E 8EC8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Qualité d'énoncé : déterministe, sans réseau, sans écriture, sans blocage</w:t>
            </w:r>
          </w:p>
          <w:p>
            <w:pPr>
              <w:spacing w:after="0"/>
            </w:pPr>
            <w:r>
              <w:rPr>
                <w:color w:val="475569"/>
                <w:sz w:val="15"/>
                <w:szCs w:val="15"/>
              </w:rPr>
              <w:t xml:space="preserve">Vérifier que les contrôles rendent le même verdict pour le même énoncé, qu'ils citent le fragment fautif tel qu'il a été écrit, qu'ils reconnaissent les motifs EARS, qu'ils ne crient pas sur des énoncés corrects — références normatives et numéros de programme compris — et que rien dans le module n'écrit en base, n'appelle le réseau, ni ne peut empêcher un enregistrement.</w:t>
            </w:r>
          </w:p>
        </w:tc>
        <w:tc>
          <w:tcPr>
            <w:tcW w:type="pct" w:w="45%"/>
            <w:tcMar>
              <w:top w:type="dxa" w:w="80"/>
              <w:left w:type="dxa" w:w="110"/>
              <w:bottom w:type="dxa" w:w="80"/>
              <w:right w:type="dxa" w:w="110"/>
            </w:tcMar>
          </w:tcPr>
          <w:p>
            <w:pPr>
              <w:spacing w:after="0"/>
            </w:pPr>
            <w:r>
              <w:rPr>
                <w:sz w:val="17"/>
                <w:szCs w:val="17"/>
              </w:rPr>
              <w:t xml:space="preserve">11 règles déterministes éprouvées sur 11 énoncés fautifs : chacune s'est déclenchée et a cité le fragment exact de l'auteur ; aucun constat sur 5 énoncés corrects, références normatives (ISO 14971, CEI 60601-1) et numéro de programme (OD-300) compris ; 5 motifs EARS reconnus sur 7 énoncés dans les deux langues, et aucun motif rendu sur une phrase sans verbe d'obligation ; 16 analyses rejouées à l'identique (déterminisme) ; le module ne référence ni base, ni réseau, ni module serveur, et la création d'exigence ne le consulte pas — aucun constat ne peut donc empêcher un enregistrement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Reprise d'un classeur et d'un document : extraction fidèle, correspondance des colonnes, même aperçu à blanc</w:t>
            </w:r>
          </w:p>
          <w:p>
            <w:pPr>
              <w:spacing w:after="0"/>
            </w:pPr>
            <w:r>
              <w:rPr>
                <w:color w:val="475569"/>
                <w:sz w:val="15"/>
                <w:szCs w:val="15"/>
              </w:rPr>
              <w:t xml:space="preserve">Vérifier, sur des fichiers produits par Excel et Word eux-mêmes, que chaque tableau est restitué avec ses en-têtes d'origine, qu'une cellule vide au milieu d'une ligne ne décale pas les suivantes, que les intitulés maison sont assignables à la main, que les valeurs d'énumération françaises sont ramenées aux valeurs internes, et que le tableau retenu traverse le même aperçu à blanc et la même écriture que le CSV.</w:t>
            </w:r>
          </w:p>
        </w:tc>
        <w:tc>
          <w:tcPr>
            <w:tcW w:type="pct" w:w="45%"/>
            <w:tcMar>
              <w:top w:type="dxa" w:w="80"/>
              <w:left w:type="dxa" w:w="110"/>
              <w:bottom w:type="dxa" w:w="80"/>
              <w:right w:type="dxa" w:w="110"/>
            </w:tcMar>
          </w:tcPr>
          <w:p>
            <w:pPr>
              <w:spacing w:after="0"/>
            </w:pPr>
            <w:r>
              <w:rPr>
                <w:sz w:val="17"/>
                <w:szCs w:val="17"/>
              </w:rPr>
              <w:t xml:space="preserve">classeur Excel : 2 feuille(s) restituée(s) avec leurs noms réels et leurs 5 en-têtes d'origine, dont trois que Filum ne reconnaît pas (« Req ID », « Description of requirement », « Crit. ») ; la cellule vide au milieu de SYS-102 est conservée à sa place et « PM » n'a pas glissé d'une colonne ; document Word : 3 lignes lues d'un vrai tableau. Après assignation manuelle des trois colonnes, le tableau traverse l'aperçu à blanc EXISTANT : 3 à créer, 0 rejetée, et les criticités « Haute » sont ramenées à « High ». Une criticité inconnue est signalée et laissée vide plutôt que stockée. Un fichier non-zip et un format non pris en charge sont refusés avec leur motif propre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Dossier technique : index déduit du graphe, hors-périmètre nommé, et aucune contradiction avec le paquet</w:t>
            </w:r>
          </w:p>
          <w:p>
            <w:pPr>
              <w:spacing w:after="0"/>
            </w:pPr>
            <w:r>
              <w:rPr>
                <w:color w:val="475569"/>
                <w:sz w:val="15"/>
                <w:szCs w:val="15"/>
              </w:rPr>
              <w:t xml:space="preserve">Vérifier que l'index couvre les 50 éléments du référentiel de diagnostic, que chaque statut se déduit du graphe et change quand le graphe change, que les éléments hors périmètre sont nommés avec leur source, que l'index ne déclare jamais absent un type de document présent dans le paquet, et que les empreintes couvrent tous les fichiers.</w:t>
            </w:r>
          </w:p>
        </w:tc>
        <w:tc>
          <w:tcPr>
            <w:tcW w:type="pct" w:w="45%"/>
            <w:tcMar>
              <w:top w:type="dxa" w:w="80"/>
              <w:left w:type="dxa" w:w="110"/>
              <w:bottom w:type="dxa" w:w="80"/>
              <w:right w:type="dxa" w:w="110"/>
            </w:tcMar>
          </w:tcPr>
          <w:p>
            <w:pPr>
              <w:spacing w:after="0"/>
            </w:pPr>
            <w:r>
              <w:rPr>
                <w:sz w:val="17"/>
                <w:szCs w:val="17"/>
              </w:rPr>
              <w:t xml:space="preserve">index de 50 éléments, identique au référentiel de diagnostic remis en amont ; sur un programme vide, 0 élément couvert et 15 hors périmètre, chacun nommant la source dont la pièce doit venir ; la création d'une seule exigence fait passer INP-1 d'« absent » à « couvert » — le statut suit le graphe et n'est pas saisi ; sur le dossier de démonstration, aucun élément n'est déclaré absent alors qu'un document de son type est publié dans le même paquet, les empreintes couvrent les 4 autres fichiers, et la lettre d'accompagnement énonce que le paquet n'est pas un dossier technique complet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Sauvegarde continue : journalisation WAL, volume en ajout seul, et cohérence base ↔ fichiers vérifiable</w:t>
            </w:r>
          </w:p>
          <w:p>
            <w:pPr>
              <w:spacing w:after="0"/>
            </w:pPr>
            <w:r>
              <w:rPr>
                <w:color w:val="475569"/>
                <w:sz w:val="15"/>
                <w:szCs w:val="15"/>
              </w:rPr>
              <w:t xml:space="preserve">Vérifier que la base est en journalisation WAL — condition de toute réplication continue —, que le passage est idempotent, qu'aucun chemin du logiciel ne supprime ni n'écrase dans le volume des fichiers, et que le contrôle de restauration distingue une pièce absente d'une pièce altérée en nommant celle qui manque.</w:t>
            </w:r>
          </w:p>
        </w:tc>
        <w:tc>
          <w:tcPr>
            <w:tcW w:type="pct" w:w="45%"/>
            <w:tcMar>
              <w:top w:type="dxa" w:w="80"/>
              <w:left w:type="dxa" w:w="110"/>
              <w:bottom w:type="dxa" w:w="80"/>
              <w:right w:type="dxa" w:w="110"/>
            </w:tcMar>
          </w:tcPr>
          <w:p>
            <w:pPr>
              <w:spacing w:after="0"/>
            </w:pPr>
            <w:r>
              <w:rPr>
                <w:sz w:val="17"/>
                <w:szCs w:val="17"/>
              </w:rPr>
              <w:t xml:space="preserve">base en journalisation WAL, passage idempotent ; 179 fichier(s) source relus, aucun chemin ne supprime ni n'écrase dans le volume des fichiers hors de la purge des imports — c'est cette propriété d'ajout seul qui rend sûre la règle « restaurer les fichiers à un instant égal ou postérieur à la base » ; sur 19 pièce(s) référencée(s), le retrait d'un enregistrement approuvé est signalé ABSENT et nommé (OQ-014-restauration), sa modification hors du logiciel est signalée ALTÉRÉE, les deux défauts ne sont jamais confondus, et le rapport redevient cohérent une fois la pièce remise en place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Mode démonstration : éteint par défaut, annoncé avant connexion, infermable, et sans effet sur les enregistrements</w:t>
            </w:r>
          </w:p>
          <w:p>
            <w:pPr>
              <w:spacing w:after="0"/>
            </w:pPr>
            <w:r>
              <w:rPr>
                <w:color w:val="475569"/>
                <w:sz w:val="15"/>
                <w:szCs w:val="15"/>
              </w:rPr>
              <w:t xml:space="preserve">Vérifier que le mode démonstration ne s'allume que sur une valeur explicite, que la période annoncée retombe sur un repli sûr plutôt que d'afficher une valeur absurde, que le bandeau RENDU dit les trois choses qu'il doit dire dans les deux langues et n'offre aucun moyen de le fermer, qu'il est posé AVANT la porte d'authentification — donc visible sur l'écran de connexion — et qu'aucun module produisant des données ou des documents ne dépend de ce mode.</w:t>
            </w:r>
          </w:p>
        </w:tc>
        <w:tc>
          <w:tcPr>
            <w:tcW w:type="pct" w:w="45%"/>
            <w:tcMar>
              <w:top w:type="dxa" w:w="80"/>
              <w:left w:type="dxa" w:w="110"/>
              <w:bottom w:type="dxa" w:w="80"/>
              <w:right w:type="dxa" w:w="110"/>
            </w:tcMar>
          </w:tcPr>
          <w:p>
            <w:pPr>
              <w:spacing w:after="0"/>
            </w:pPr>
            <w:r>
              <w:rPr>
                <w:sz w:val="17"/>
                <w:szCs w:val="17"/>
              </w:rPr>
              <w:t xml:space="preserve">mode éteint sans FILUM_DEMO et sur 10 valeurs voisines (« true », « oui », « 0 », « 1 » avec espace…), allumé sur « 1 » seul ; période annoncée bornée sur 12 valeurs, repli à 6 h pour une valeur absurde ou absente ; bandeau RENDU dans les deux langues portant les trois mentions dues — données fictives, effacement périodique, installation non qualifiée —, sans aucun bouton de fermeture et avec le rôle « alert » ; rendu AVANT la porte d'authentification, donc présent sur l'écran de connexion ; 177 fichier(s) source relus, aucun module hors de la coque ne dépend du mode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Vue par programme : le hors-programme est porté, le rapprochement est indépendant, et un écart se voit</w:t>
            </w:r>
          </w:p>
          <w:p>
            <w:pPr>
              <w:spacing w:after="0"/>
            </w:pPr>
            <w:r>
              <w:rPr>
                <w:color w:val="475569"/>
                <w:sz w:val="15"/>
                <w:szCs w:val="15"/>
              </w:rPr>
              <w:t xml:space="preserve">Vérifier qu'un contenu rattaché à aucun programme apparaît sur une ligne à lui au lieu de disparaître, que chaque indicateur retombe sur un total demandé séparément à la base, que la règle « exigence couverte » exprimée en requête dit la même chose que celle appliquée aux objets chargés, qu'un document dont le programme contredit celui de son activité est nommé, et — en rendant le composant — qu'un rapprochement en défaut s'affiche alors qu'un rapprochement juste n'affiche rien.</w:t>
            </w:r>
          </w:p>
        </w:tc>
        <w:tc>
          <w:tcPr>
            <w:tcW w:type="pct" w:w="45%"/>
            <w:tcMar>
              <w:top w:type="dxa" w:w="80"/>
              <w:left w:type="dxa" w:w="110"/>
              <w:bottom w:type="dxa" w:w="80"/>
              <w:right w:type="dxa" w:w="110"/>
            </w:tcMar>
          </w:tcPr>
          <w:p>
            <w:pPr>
              <w:spacing w:after="0"/>
            </w:pPr>
            <w:r>
              <w:rPr>
                <w:sz w:val="17"/>
                <w:szCs w:val="17"/>
              </w:rPr>
              <w:t xml:space="preserve">4 programme(s) et une ligne « hors programme » non vide (16 document(s), 15 exigence(s)) ; les 8 indicateurs retombent sur des totaux demandés SÉPARÉMENT à la base ; une exigence sur deux non couverte donne 50 % et non 100 %, une mère couverte par sa fille est comptée couverte, un programme sans exigence ne dit rien ; les deux expressions de « couverte » s'accordent sur 2 exigence(s) ; le document rangé dans l'activité d'un programme sans porter ce programme est nommé (OQD-ORPHELIN → Programme A) ; au rendu, un rapprochement en défaut s'affiche avec ses nombres et un rapprochement juste n'affiche rien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Cellules fusionnées dépliées, colonnes non décalées, feuilles nommées quel que soit le producteur</w:t>
            </w:r>
          </w:p>
          <w:p>
            <w:pPr>
              <w:spacing w:after="0"/>
            </w:pPr>
            <w:r>
              <w:rPr>
                <w:color w:val="475569"/>
                <w:sz w:val="15"/>
                <w:szCs w:val="15"/>
              </w:rPr>
              <w:t xml:space="preserve">Vérifier, sur des fichiers produits par deux bibliothèques TIERCES, qu'une fusion verticale voit sa valeur reprise sur toutes les lignes qu'elle couvre, qu'une fusion horizontale ne décale aucune colonne sans être recopiée dans les champs voisins, que les feuilles portent leur nom même quand le producteur écrit ses attributs dans un autre ordre qu'Excel, que les dates sont rendues lisibles, et qu'une formule sans valeur calculée est comptée et signalée.</w:t>
            </w:r>
          </w:p>
        </w:tc>
        <w:tc>
          <w:tcPr>
            <w:tcW w:type="pct" w:w="45%"/>
            <w:tcMar>
              <w:top w:type="dxa" w:w="80"/>
              <w:left w:type="dxa" w:w="110"/>
              <w:bottom w:type="dxa" w:w="80"/>
              <w:right w:type="dxa" w:w="110"/>
            </w:tcMar>
          </w:tcPr>
          <w:p>
            <w:pPr>
              <w:spacing w:after="0"/>
            </w:pPr>
            <w:r>
              <w:rPr>
                <w:sz w:val="17"/>
                <w:szCs w:val="17"/>
              </w:rPr>
              <w:t xml:space="preserve">sur deux vecteurs produits par des bibliothèques TIERCES (openpyxl, docx) : feuilles nommées — le classeur d'openpyxl a révélé que les relations n'étaient lues que dans l'ordre d'attributs d'Excel, et que tout fichier venu d'un autre outil s'affichait « sheet1 » ; fusion verticale dépliée sur 3 lignes dans le classeur et 3 dans le document, chaque ligne gardant ses propres valeurs ; fusion horizontale non recopiée dans la colonne voisine et sans décalage de fin de ligne ; 5 dates rendues lisibles à la bonne origine de calendrier ; 2 formules sans valeur calculée comptées et signalées ; et aucune remarque sur un tableau qui n'a rien à signaler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Authentification déléguée : le jeton est vérifié, personne n'est créé, et la signature reste locale</w:t>
            </w:r>
          </w:p>
          <w:p>
            <w:pPr>
              <w:spacing w:after="0"/>
            </w:pPr>
            <w:r>
              <w:rPr>
                <w:color w:val="475569"/>
                <w:sz w:val="15"/>
                <w:szCs w:val="15"/>
              </w:rPr>
              <w:t xml:space="preserve">Vérifier, sur des jetons FORGÉS pour l'occasion, qu'un jeton d'identité n'est accepté qu'après contrôle de sa signature RS256, de son émetteur, de son destinataire, de sa péremption et de son nonce ; que « alg: none » et la confusion d'algorithme sont refusées ; qu'une configuration incomplète ou en clair est traitée comme absente ; et — surtout — que le chemin de signature ne dépend d'aucun module d'authentification déléguée, de sorte que le second composant exigé par 21 CFR 11.200(a)(1) reste un secret local.</w:t>
            </w:r>
          </w:p>
        </w:tc>
        <w:tc>
          <w:tcPr>
            <w:tcW w:type="pct" w:w="45%"/>
            <w:tcMar>
              <w:top w:type="dxa" w:w="80"/>
              <w:left w:type="dxa" w:w="110"/>
              <w:bottom w:type="dxa" w:w="80"/>
              <w:right w:type="dxa" w:w="110"/>
            </w:tcMar>
          </w:tcPr>
          <w:p>
            <w:pPr>
              <w:spacing w:after="0"/>
            </w:pPr>
            <w:r>
              <w:rPr>
                <w:sz w:val="17"/>
                <w:szCs w:val="17"/>
              </w:rPr>
              <w:t xml:space="preserve">jeton nominal accepté et adresse normalisée ; 15 jetons hostiles refusés, dont « alg: none », la confusion RS256/HS256, une signature d'une autre clé, une charge altérée après signature, un émetteur et un destinataire inattendus, des destinataires multiples sans partie autorisée, un jeton périmé, un nonce absent puis incorrect, et une adresse non vérifiée par l'annuaire ; configuration traitée comme absente si incomplète (4 variables éprouvées une à une) ou si l'émetteur n'est pas en HTTPS ; PKCE S256 dont le défi correspond à son vérifieur, state et nonce distincts et renouvelés à chaque demande ; 172 fichier(s) source relus, aucun module hors de la coque d'authentification ne dépend du SSO, la ré-authentification de signature vérifie toujours un secret LOCAL, et le retour d'annuaire ne crée aucune personne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Ce qui dépend du moteur de base est inventorié, et l'inventaire est relu sur la source</w:t>
            </w:r>
          </w:p>
          <w:p>
            <w:pPr>
              <w:spacing w:after="0"/>
            </w:pPr>
            <w:r>
              <w:rPr>
                <w:color w:val="475569"/>
                <w:sz w:val="15"/>
                <w:szCs w:val="15"/>
              </w:rPr>
              <w:t xml:space="preserve">Vérifier qu'aucun point dépendant du moteur de base n'existe hors de l'inventaire déclaré, que le détecteur trouve réellement les points qu'il prétend surveiller — au premier rang desquels la lecture-puis-écriture de la tête de chaîne d'audit et son miroir de console —, et que la propriété du moteur sur laquelle repose la recherche est bien celle qui est documentée : constater l'insensibilité à la casse plutôt que la supposer.</w:t>
            </w:r>
          </w:p>
        </w:tc>
        <w:tc>
          <w:tcPr>
            <w:tcW w:type="pct" w:w="45%"/>
            <w:tcMar>
              <w:top w:type="dxa" w:w="80"/>
              <w:left w:type="dxa" w:w="110"/>
              <w:bottom w:type="dxa" w:w="80"/>
              <w:right w:type="dxa" w:w="110"/>
            </w:tcMar>
          </w:tcPr>
          <w:p>
            <w:pPr>
              <w:spacing w:after="0"/>
            </w:pPr>
            <w:r>
              <w:rPr>
                <w:sz w:val="17"/>
                <w:szCs w:val="17"/>
              </w:rPr>
              <w:t xml:space="preserve">34 point(s) dépendant du moteur relevés sur la source et tous déclarés — 3 instruction(s) PRAGMA, 2 lecture(s)-puis-écriture de la tête de chaîne (le chaînage ET son miroir de console, ce second exemplaire ayant été trouvé par l'audit et non prévu), 27 recherche(s) par « contains », le fournisseur figé et la lignée de migrations ; l'insensibilité à la casse du moteur qualifié est CONSTATÉE et non supposée (1 = 1) ; le schéma annonce toujours « sqlite » et la note de portabilité dit que l'autre moteur n'est pas offert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API en lecture seule : aucune écriture dans le graphe, jeton conservé par son empreinte, réponse refaisable</w:t>
            </w:r>
          </w:p>
          <w:p>
            <w:pPr>
              <w:spacing w:after="0"/>
            </w:pPr>
            <w:r>
              <w:rPr>
                <w:color w:val="475569"/>
                <w:sz w:val="15"/>
                <w:szCs w:val="15"/>
              </w:rPr>
              <w:t xml:space="preserve">Vérifier en relisant la source qu'aucune route de l'API n'écrit dans le graphe de conception et que toutes passent par la garde unique ; qu'un jeton est refusé absent, mal formé, inconnu puis révoqué, sans que la réponse distingue ces cas ; qu'il n'est conservé que par son empreinte ; et qu'une réponse permet à son destinataire de REFAIRE l'empreinte annoncée en appliquant à la lettre la règle écrite dans la réponse.</w:t>
            </w:r>
          </w:p>
        </w:tc>
        <w:tc>
          <w:tcPr>
            <w:tcW w:type="pct" w:w="45%"/>
            <w:tcMar>
              <w:top w:type="dxa" w:w="80"/>
              <w:left w:type="dxa" w:w="110"/>
              <w:bottom w:type="dxa" w:w="80"/>
              <w:right w:type="dxa" w:w="110"/>
            </w:tcMar>
          </w:tcPr>
          <w:p>
            <w:pPr>
              <w:spacing w:after="0"/>
            </w:pPr>
            <w:r>
              <w:rPr>
                <w:sz w:val="17"/>
                <w:szCs w:val="17"/>
              </w:rPr>
              <w:t xml:space="preserve">4 route(s) d'API relues : aucune n'écrit en base et toutes passent par la garde unique ; le module de jetons n'écrit que sur les jetons eux-mêmes (émission et date de dernier usage) ; un jeton est refusé absent, vide, sans schéma Bearer, mal formé, sans préfixe, inconnu, puis révoqué — et le refus ne distingue aucun de ces cas ; le jeton n'est conservé que par son empreinte SHA-256, sa valeur en clair n'existe nulle part en base ; l'empreinte annoncée d'une réponse se REFAIT en appliquant à la lettre la règle écrite dans cette réponse, échappements compris ; et son ancrage désigne bien la tête de chaîne d'audit à l'instant de l'extraction (rang 85). 3 ressources publiées.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Conformité PDF/A prononcée par l'implémentation de référence, témoin à l'appui</w:t>
            </w:r>
          </w:p>
          <w:p>
            <w:pPr>
              <w:spacing w:after="0"/>
            </w:pPr>
            <w:r>
              <w:rPr>
                <w:color w:val="475569"/>
                <w:sz w:val="15"/>
                <w:szCs w:val="15"/>
              </w:rPr>
              <w:t xml:space="preserve">Soumettre à veraPDF — l'implémentation de référence, extérieure à ce projet — un document bâti pour la mettre en défaut, et EXIGER d'abord qu'elle rejette un fichier délibérément non conforme. Un validateur qui ne sait plus dire « non » rendrait un vert permanent ; le témoin est donc contrôlé avant tout le reste, et son succès invaliderait l'exécution entière.</w:t>
            </w:r>
          </w:p>
        </w:tc>
        <w:tc>
          <w:tcPr>
            <w:tcW w:type="pct" w:w="45%"/>
            <w:tcMar>
              <w:top w:type="dxa" w:w="80"/>
              <w:left w:type="dxa" w:w="110"/>
              <w:bottom w:type="dxa" w:w="80"/>
              <w:right w:type="dxa" w:w="110"/>
            </w:tcMar>
          </w:tcPr>
          <w:p>
            <w:pPr>
              <w:spacing w:after="0"/>
            </w:pPr>
            <w:r>
              <w:rPr>
                <w:sz w:val="17"/>
                <w:szCs w:val="17"/>
              </w:rPr>
              <w:t xml:space="preserve">veraPDF 1.30.2 a rendu deux verdicts sur des fichiers produits pendant ce cas. Le témoin — police non embarquée, sans intention de sortie ni métadonnées XMP, écrit octet par octet sans passer par les modules de Filum — est REJETÉ sur 5 règle(s) : la mesure discrimine. Le document de torture, qui rassemble 7 familles de caractères (chimie, grec, mathématiques, fractions, unités, idéogrammes, emoji, diacritiques) et a exercé 2 substitution(s) de glyphes absents, est déclaré CONFORME au profil PDF/A-2b. Le contrôle structurel interne rend le même verdict sur le même fichier, et confirme zéro renvoi au glyphe .notdef.</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3619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47 exigences, 43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validées par veraPDF 1.30.2, l'implémentation de référence, exécutée sur une archive complète et sur un document de torture bâti pour la faire échouer ; le harnais porte un témoin non conforme et refuse de conclure si le validateur le laisse passer. Ce contrôle a trouvé, à sa première exécution, deux non-conformités que nos propres vérifications ne voyaient pas. LE FORMAT EST VALIDÉ, PAS CERTIFIÉ : un validateur conforme n'est pas un organisme notifié, et l'affirmation porte sur cette version du validateur et sur ce corpus. Les polices embarquées couvrent l'alphabet du domaine — grec, cyrillique, opérateurs mathématiques, exposants, fractions, flèches — ainsi que les kana et idéogrammes ; un cas de qualification relit cette couverture sur les polices livrées, et une police n'annonce que ce qu'elle sait dessiner. La police d'idéogrammes n'est embarquée que dans les documents qui en portent, et réduite à ce qu'ils emploient : un enregistrement sans idéogramme ne paie rien. LIMITE SUBSISTANTE : hangûl, idéogrammes propres au chinois simplifié et emoji couleur ne sont pas dessinables ; ils sont remplacés, et chaque copie DÉCLARE lesquels dans une table dédiée.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9 août 2026 à 12:37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2026-08-09T12:57:55.905Z</dcterms:created>
  <dcterms:modified xsi:type="dcterms:W3CDTF">2026-08-09T12:57:55.906Z</dcterms:modified>
</cp:coreProperties>
</file>

<file path=docProps/custom.xml><?xml version="1.0" encoding="utf-8"?>
<Properties xmlns="http://schemas.openxmlformats.org/officeDocument/2006/custom-properties" xmlns:vt="http://schemas.openxmlformats.org/officeDocument/2006/docPropsVTypes"/>
</file>