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9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Dossier technique</w:t>
            </w:r>
          </w:p>
        </w:tc>
        <w:tc>
          <w:tcPr>
            <w:tcW w:type="pct" w:w="78%"/>
            <w:tcMar>
              <w:top w:type="dxa" w:w="80"/>
              <w:left w:type="dxa" w:w="110"/>
              <w:bottom w:type="dxa" w:w="80"/>
              <w:right w:type="dxa" w:w="110"/>
            </w:tcMar>
          </w:tcPr>
          <w:p>
            <w:pPr>
              <w:spacing w:after="0"/>
            </w:pPr>
            <w:r>
              <w:rPr>
                <w:sz w:val="17"/>
                <w:szCs w:val="17"/>
              </w:rPr>
              <w:t xml:space="preserve">Un dossier technique par programme, en un téléchargement. Il indexe ce que Filum détient sur les 50 éléments du référentiel de diagnostic — le MÊME que celui de la trame remise en amont d'une mission — chacun rattaché à sa clause ISO 13485, à sa référence 21 CFR 820.30 et à sa section d'Annexe II. Chaque ligne dit ce qui est couvert, ce qui est partiel, ce qui manque, et ce qui doit venir de votre système qualité. AUCUN STATUT N'EST SAISI : ils se déduisent du graphe au moment de l'export, et changent quand le graphe change. Le paquet emporte les dossiers de conception compilés par activité, les enregistrements figés des documents publiés, la matrice de traçabilité et les empreintes de tous les fichiers. Il n'est PAS un dossier technique complet, et sa lettre d'accompagnement le dit : étiquetage, notice, spécifications de fabrication, transfert en production, évaluation clinique et surveillance après commercialisation n'existent pas dans un outil de conception — quinze des cinquante éléments sont donc nommés hors périmètre, avec la source dont ils doivent venir. Les taire produirait un index qui a l'air complet et un dossier qui ne l'est pas.</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Déposez un classeur .xlsx ou un document .docx TELS QUELS : Filum y trouve les tableaux, vous choisissez lequel reprendre, puis vous dites quelle colonne correspond à quoi. Vos intitulés restent les vôtres — « Req ID », « Crit. », « Descriptif fonctionnel » — la reconnaissance automatique propose ce qu'elle sait, vous assignez le reste, et rien ne se devine en silence. Les cellules vides gardent leur position : une justification ne peut pas glisser dans la colonne du sous-système. Les valeurs sont ramenées au vocabulaire de Filum quelle que soit la langue du fichier — « Haute » devient « High » — et une valeur inconnue est signalée plutôt que stockée. L'import CSV à modèle fixe reste disponible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 La base est en journalisation WAL : la lecture ne bloque plus l'écriture, et la réplication continue devient possible. La sauvegarde à froid reste la référence — elle arrête le service et copie les deux volumes au même instant, donc elle est cohérente par construction. Une option de réplication continue de la base est DOCUMENTÉE, avec la règle qui la rend sûre : elle ne réplique que la base, et les enregistrements figés vivent dans le second volume ; comme celui-ci est en AJOUT SEUL, il suffit de restaurer les fichiers à un instant égal ou postérieur à la base — des fichiers en avance ne sont que des orphelins. Une commande relit chaque pièce référencée par la base et distingue une pièce absente d'une pièce altérée, les deux ne se réparant pas de la même façon.</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9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9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2026-08-09T12:39:21.007Z</dcterms:created>
  <dcterms:modified xsi:type="dcterms:W3CDTF">2026-08-09T12:39:21.007Z</dcterms:modified>
</cp:coreProperties>
</file>

<file path=docProps/custom.xml><?xml version="1.0" encoding="utf-8"?>
<Properties xmlns="http://schemas.openxmlformats.org/officeDocument/2006/custom-properties" xmlns:vt="http://schemas.openxmlformats.org/officeDocument/2006/docPropsVTypes"/>
</file>