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32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Analyse de risque logiciel</w:t>
      </w:r>
    </w:p>
    <w:p>
      <w:pPr>
        <w:spacing w:after="140"/>
      </w:pPr>
      <w:r>
        <w:rPr>
          <w:sz w:val="20"/>
          <w:szCs w:val="20"/>
        </w:rPr>
        <w:t xml:space="preserve">Répartition : 22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5 août 2026 à 18:25</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29 cas sur 29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(c6111623e1bd… ≠ 426d44bed6e9…),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cmsgf3r8…, empreinte attestée 3767 CD80 ACC9, manifestation « Testeur QA1 (QA1) · Approuvé · 05/08/2026 18:25:43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a2da913bf11aa4eb…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2036-08-05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184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184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8902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32 exigences, 28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5 août 2026 à 18:25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2026-08-05T18:26:10.576Z</dcterms:created>
  <dcterms:modified xsi:type="dcterms:W3CDTF">2026-08-05T18:26:10.576Z</dcterms:modified>
</cp:coreProperties>
</file>

<file path=docProps/custom.xml><?xml version="1.0" encoding="utf-8"?>
<Properties xmlns="http://schemas.openxmlformats.org/officeDocument/2006/custom-properties" xmlns:vt="http://schemas.openxmlformats.org/officeDocument/2006/docPropsVTypes"/>
</file>