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1.2.0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31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Software risk analysis</w:t>
      </w:r>
    </w:p>
    <w:p>
      <w:pPr>
        <w:spacing w:after="140"/>
      </w:pPr>
      <w:r>
        <w:rPr>
          <w:sz w:val="20"/>
          <w:szCs w:val="20"/>
        </w:rPr>
        <w:t xml:space="preserve">Breakdown: 21 requirements at high risk, 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4 August 2026 at 16:04</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28 of 28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(fc5550566f42… ≠ 96440da417cf…),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cmseumrd…, attested fingerprint 3767 CD80 ACC9, manifestation “Testeur QA1 (QA1) · Approuvé · 04/08/2026 16:04:52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136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510cd0bd33020b04…;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2036-08-04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“sequence”);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173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173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31 requirements, 27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OQ report executed on 4 August 2026 at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2026-08-04T17:12:13.244Z</dcterms:created>
  <dcterms:modified xsi:type="dcterms:W3CDTF">2026-08-04T17:12:13.244Z</dcterms:modified>
</cp:coreProperties>
</file>

<file path=docProps/custom.xml><?xml version="1.0" encoding="utf-8"?>
<Properties xmlns="http://schemas.openxmlformats.org/officeDocument/2006/custom-properties" xmlns:vt="http://schemas.openxmlformats.org/officeDocument/2006/docPropsVTypes"/>
</file>