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1.2.1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33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L'image livrée démarre et amorce une installation utilisable : les migrations s'appliquent, l'organisation, le programme, le compte administrateur et la bibliothèque de normes sont créés, la chaîne de piste d'audit est intacte, la version annoncée est celle du logiciel, et aucune donnée n'est servie sans session.</w:t>
            </w:r>
          </w:p>
        </w:tc>
        <w:tc>
          <w:tcPr>
            <w:tcW w:type="pct" w:w="28%"/>
            <w:tcMar>
              <w:top w:type="dxa" w:w="80"/>
              <w:left w:type="dxa" w:w="110"/>
              <w:bottom w:type="dxa" w:w="80"/>
              <w:right w:type="dxa" w:w="110"/>
            </w:tcMar>
          </w:tcPr>
          <w:p>
            <w:pPr>
              <w:spacing w:after="0"/>
            </w:pPr>
            <w:r>
              <w:rPr>
                <w:sz w:val="17"/>
                <w:szCs w:val="17"/>
              </w:rPr>
              <w:t xml:space="preserve">C'est l'image qui est livrée, pas le code source. Tout ce que vérifient les autres cas s'exécute HORS du conteneur : ni le contrôle de types, ni la construction applicative, ni les cas de qualification ne voient ce que l'image contient réellement. Cet angle mort a produit une image qui ne pouvait pas démarrer du tout — le client de l'étape IQ-04 l'aurait découvert devant son infogérant — et un conteneur annonçant une version qui n'était pas la sienne.</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piste d'audit se lit dans la langue du lecteur. Chaque entrée écrite par l'application porte la clé de son message et ses arguments ; le texte est rendu à la lecture, à l'écran, dans l'export CSV et dans l'archive d'inspection. Les valeurs d'énumération suivent la langue, les données saisies restent intactes, la clé et les arguments entrent dans l'empreinte de l'entrée, et les entrées antérieures restent lisibles avec leurs empreintes vérifiables.</w:t>
            </w:r>
          </w:p>
        </w:tc>
        <w:tc>
          <w:tcPr>
            <w:tcW w:type="pct" w:w="28%"/>
            <w:tcMar>
              <w:top w:type="dxa" w:w="80"/>
              <w:left w:type="dxa" w:w="110"/>
              <w:bottom w:type="dxa" w:w="80"/>
              <w:right w:type="dxa" w:w="110"/>
            </w:tcMar>
          </w:tcPr>
          <w:p>
            <w:pPr>
              <w:spacing w:after="0"/>
            </w:pPr>
            <w:r>
              <w:rPr>
                <w:sz w:val="17"/>
                <w:szCs w:val="17"/>
              </w:rPr>
              <w:t xml:space="preserve">La piste d'audit est l'enregistrement qu'un auditeur lit en premier. Une équipe anglophone la consultait en français : elle ne pouvait ni la relire, ni la produire à son inspecteur, ni la revoir périodiquement comme le projet d'Annexe 11 l'attend. Le risque n'est pas la perte de donnée mais l'illisibilité d'un enregistrement réglementaire — et, si la traduction se faisait hors empreinte, la possibilité d'une version anglaise falsifiée que la chaîne déclarerait intacte.</w:t>
            </w:r>
          </w:p>
        </w:tc>
        <w:tc>
          <w:tcPr>
            <w:tcW w:type="pct" w:w="20%"/>
            <w:tcMar>
              <w:top w:type="dxa" w:w="80"/>
              <w:left w:type="dxa" w:w="110"/>
              <w:bottom w:type="dxa" w:w="80"/>
              <w:right w:type="dxa" w:w="110"/>
            </w:tcMar>
          </w:tcPr>
          <w:p>
            <w:pPr>
              <w:spacing w:after="0"/>
            </w:pPr>
            <w:r>
              <w:rPr>
                <w:sz w:val="17"/>
                <w:szCs w:val="17"/>
              </w:rPr>
              <w:t xml:space="preserve">21 CFR 11.10(b) · 21 CFR 11.10(e)</w:t>
            </w:r>
          </w:p>
        </w:tc>
      </w:tr>
    </w:tbl>
    <w:p>
      <w:pPr>
        <w:pStyle w:val="Heading2"/>
        <w:spacing w:after="140" w:before="320"/>
      </w:pPr>
      <w:r>
        <w:t xml:space="preserve">4. Analyse de risque logiciel</w:t>
      </w:r>
    </w:p>
    <w:p>
      <w:pPr>
        <w:spacing w:after="140"/>
      </w:pPr>
      <w:r>
        <w:rPr>
          <w:sz w:val="20"/>
          <w:szCs w:val="20"/>
        </w:rPr>
        <w:t xml:space="preserve">Répartition : 22 exigences à risque haut, 9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6 août 2026 à 11:23</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30 cas sur 30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(eacb5a49b286… ≠ 5ccbc7567c99…),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10485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107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cmshffrm…, empreinte attestée 3767 CD80 ACC9, manifestation « Testeur QA1 (QA1) · Approuvé · 06/08/2026 11:22:50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10487 octets relus à l'identique ; inversion d'un octet en position 5243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(10496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68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138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301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29 fichier(s) couverts par empreintes.sha256, 0 écart ; ancre 67bd2e669502d114…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2036-08-06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157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89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32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190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48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222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190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6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L'image livrée démarre, s'amorce, et ne divulgue rien</w:t>
            </w:r>
          </w:p>
          <w:p>
            <w:pPr>
              <w:spacing w:after="0"/>
            </w:pPr>
            <w:r>
              <w:rPr>
                <w:color w:val="475569"/>
                <w:sz w:val="15"/>
                <w:szCs w:val="15"/>
              </w:rPr>
              <w:t xml:space="preserve">Démarrer un conteneur depuis l'image réellement construite, sur des volumes vierges, et vérifier dans SON journal et par SES réponses HTTP que l'installation aboutit — au lieu de le déduire du code source, qui ne dit rien de ce que l'image contient.</w:t>
            </w:r>
          </w:p>
        </w:tc>
        <w:tc>
          <w:tcPr>
            <w:tcW w:type="pct" w:w="45%"/>
            <w:tcMar>
              <w:top w:type="dxa" w:w="80"/>
              <w:left w:type="dxa" w:w="110"/>
              <w:bottom w:type="dxa" w:w="80"/>
              <w:right w:type="dxa" w:w="110"/>
            </w:tcMar>
          </w:tcPr>
          <w:p>
            <w:pPr>
              <w:spacing w:after="0"/>
            </w:pPr>
            <w:r>
              <w:rPr>
                <w:sz w:val="17"/>
                <w:szCs w:val="17"/>
              </w:rPr>
              <w:t xml:space="preserve">image filum:latest démarrée sur volumes vierges, conteneur SAIN ; migrations appliquées, chaîne de piste d'audit intacte, organisation, programme, compte administrateur et bibliothèque de normes créés ; version 1.2.1 annoncée au journal ET portée par /app/VERSION ; /login répond 200 ; une route protégée rend l'écran de connexion (10431 octets) sans divulguer ni le nom de l'organisation ni celui du programme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8888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Piste d'audit bilingue — rendu, vocabulaire, données, et empreinte du message</w:t>
            </w:r>
          </w:p>
          <w:p>
            <w:pPr>
              <w:spacing w:after="0"/>
            </w:pPr>
            <w:r>
              <w:rPr>
                <w:color w:val="475569"/>
                <w:sz w:val="15"/>
                <w:szCs w:val="15"/>
              </w:rPr>
              <w:t xml:space="preserve">Vérifier que le catalogue est complet dans les deux langues, qu'une entrée écrite par l'application se relit en français et en anglais, que le vocabulaire du logiciel suit la langue pendant que la donnée saisie reste intacte, que la clé et les arguments sont couverts par l'empreinte, et que les entrées antérieures gardent la leur.</w:t>
            </w:r>
          </w:p>
        </w:tc>
        <w:tc>
          <w:tcPr>
            <w:tcW w:type="pct" w:w="45%"/>
            <w:tcMar>
              <w:top w:type="dxa" w:w="80"/>
              <w:left w:type="dxa" w:w="110"/>
              <w:bottom w:type="dxa" w:w="80"/>
              <w:right w:type="dxa" w:w="110"/>
            </w:tcMar>
          </w:tcPr>
          <w:p>
            <w:pPr>
              <w:spacing w:after="0"/>
            </w:pPr>
            <w:r>
              <w:rPr>
                <w:sz w:val="17"/>
                <w:szCs w:val="17"/>
              </w:rPr>
              <w:t xml:space="preserve">181 messages du catalogue complets dans les deux langues et à variables identiques ; entrée écrite par le point de passage relue « SPEC-OQ30 : En attente → Justifié — justification : ess… » et « SPEC-OQ30: Pending → Justified — justification: essai d… » ; le statut suit la langue, le motif saisi est restitué à l'identique dans les deux ; réécriture des arguments et changement de clé détectés au rang 64, chaîne rétablie après remise en état ; une entrée sans message se sérialise sur 9 champs comme avant, 11 avec, miroir de console identique sur les deux formes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20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33 exigences, 29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tenue sous charge fait l'objet d'une campagne mesurée à part, remise avec ce dossier (note de tenue sous charge) : le logiciel est caractérisé jusqu'à 50 143 entrées de piste d'audit. Ce qui n'y est PAS mesuré est nommé dans la note, à commencer par les utilisateurs simultanés — SQLite n'admet qu'un écrivain à la fois. Au-delà du domaine mesuré, le comportement n'est pas caractérisé.</w:t>
      </w:r>
    </w:p>
    <w:p>
      <w:pPr>
        <w:spacing w:after="100"/>
      </w:pPr>
      <w:r>
        <w:rPr>
          <w:sz w:val="20"/>
          <w:szCs w:val="20"/>
        </w:rPr>
        <w:t xml:space="preserve">— Aucun test de pénétration n'a été conduit par un tiers indépendant. Les contrôles d'autorité sont vérifiés, la résistance à une attaque ciblée ne l'est pas.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rapport OQ exécuté le 6 août 2026 à 11:23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2026-08-06T11:23:50.210Z</dcterms:created>
  <dcterms:modified xsi:type="dcterms:W3CDTF">2026-08-06T11:23:50.210Z</dcterms:modified>
</cp:coreProperties>
</file>

<file path=docProps/custom.xml><?xml version="1.0" encoding="utf-8"?>
<Properties xmlns="http://schemas.openxmlformats.org/officeDocument/2006/custom-properties" xmlns:vt="http://schemas.openxmlformats.org/officeDocument/2006/docPropsVTypes"/>
</file>