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manifest, the file's exports, the complete audit trail and a fingerprint file in sha256sum format: it is verified without Filum, using the operating system's own tool.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33 validation requirements, 30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30 of 30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2026-08-06T11:23:36.277Z</dcterms:created>
  <dcterms:modified xsi:type="dcterms:W3CDTF">2026-08-06T11:23:36.278Z</dcterms:modified>
</cp:coreProperties>
</file>

<file path=docProps/custom.xml><?xml version="1.0" encoding="utf-8"?>
<Properties xmlns="http://schemas.openxmlformats.org/officeDocument/2006/custom-properties" xmlns:vt="http://schemas.openxmlformats.org/officeDocument/2006/docPropsVTypes"/>
</file>