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14.7 ms  (21.8 ms)</w:t>
            </w:r>
          </w:p>
        </w:tc>
        <w:tc>
          <w:tcPr>
            <w:tcW w:type="pct" w:w="14%"/>
            <w:tcMar>
              <w:top w:type="dxa" w:w="80"/>
              <w:left w:type="dxa" w:w="110"/>
              <w:bottom w:type="dxa" w:w="80"/>
              <w:right w:type="dxa" w:w="110"/>
            </w:tcMar>
          </w:tcPr>
          <w:p>
            <w:pPr>
              <w:spacing w:after="0"/>
            </w:pPr>
            <w:r>
              <w:rPr>
                <w:sz w:val="17"/>
                <w:szCs w:val="17"/>
              </w:rPr>
              <w:t xml:space="preserve">154 ms  (165.1 ms)</w:t>
            </w:r>
          </w:p>
        </w:tc>
        <w:tc>
          <w:tcPr>
            <w:tcW w:type="pct" w:w="14%"/>
            <w:tcMar>
              <w:top w:type="dxa" w:w="80"/>
              <w:left w:type="dxa" w:w="110"/>
              <w:bottom w:type="dxa" w:w="80"/>
              <w:right w:type="dxa" w:w="110"/>
            </w:tcMar>
          </w:tcPr>
          <w:p>
            <w:pPr>
              <w:spacing w:after="0"/>
            </w:pPr>
            <w:r>
              <w:rPr>
                <w:sz w:val="17"/>
                <w:szCs w:val="17"/>
              </w:rPr>
              <w:t xml:space="preserve">802.3 ms  (862.5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3.8 ms  (5.3 ms)</w:t>
            </w:r>
          </w:p>
        </w:tc>
        <w:tc>
          <w:tcPr>
            <w:tcW w:type="pct" w:w="14%"/>
            <w:tcMar>
              <w:top w:type="dxa" w:w="80"/>
              <w:left w:type="dxa" w:w="110"/>
              <w:bottom w:type="dxa" w:w="80"/>
              <w:right w:type="dxa" w:w="110"/>
            </w:tcMar>
          </w:tcPr>
          <w:p>
            <w:pPr>
              <w:spacing w:after="0"/>
            </w:pPr>
            <w:r>
              <w:rPr>
                <w:sz w:val="17"/>
                <w:szCs w:val="17"/>
              </w:rPr>
              <w:t xml:space="preserve">16.4 ms  (20.7 ms)</w:t>
            </w:r>
          </w:p>
        </w:tc>
        <w:tc>
          <w:tcPr>
            <w:tcW w:type="pct" w:w="14%"/>
            <w:tcMar>
              <w:top w:type="dxa" w:w="80"/>
              <w:left w:type="dxa" w:w="110"/>
              <w:bottom w:type="dxa" w:w="80"/>
              <w:right w:type="dxa" w:w="110"/>
            </w:tcMar>
          </w:tcPr>
          <w:p>
            <w:pPr>
              <w:spacing w:after="0"/>
            </w:pPr>
            <w:r>
              <w:rPr>
                <w:sz w:val="17"/>
                <w:szCs w:val="17"/>
              </w:rPr>
              <w:t xml:space="preserve">70.6 ms  (79.2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(3.1 ms)</w:t>
            </w:r>
          </w:p>
        </w:tc>
        <w:tc>
          <w:tcPr>
            <w:tcW w:type="pct" w:w="14%"/>
            <w:tcMar>
              <w:top w:type="dxa" w:w="80"/>
              <w:left w:type="dxa" w:w="110"/>
              <w:bottom w:type="dxa" w:w="80"/>
              <w:right w:type="dxa" w:w="110"/>
            </w:tcMar>
          </w:tcPr>
          <w:p>
            <w:pPr>
              <w:spacing w:after="0"/>
            </w:pPr>
            <w:r>
              <w:rPr>
                <w:sz w:val="17"/>
                <w:szCs w:val="17"/>
              </w:rPr>
              <w:t xml:space="preserve">11.3 ms  (11.7 ms)</w:t>
            </w:r>
          </w:p>
        </w:tc>
        <w:tc>
          <w:tcPr>
            <w:tcW w:type="pct" w:w="14%"/>
            <w:tcMar>
              <w:top w:type="dxa" w:w="80"/>
              <w:left w:type="dxa" w:w="110"/>
              <w:bottom w:type="dxa" w:w="80"/>
              <w:right w:type="dxa" w:w="110"/>
            </w:tcMar>
          </w:tcPr>
          <w:p>
            <w:pPr>
              <w:spacing w:after="0"/>
            </w:pPr>
            <w:r>
              <w:rPr>
                <w:sz w:val="17"/>
                <w:szCs w:val="17"/>
              </w:rPr>
              <w:t xml:space="preserve">22.6 ms  (27.8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2.1 ms  (2.8 ms)</w:t>
            </w:r>
          </w:p>
        </w:tc>
        <w:tc>
          <w:tcPr>
            <w:tcW w:type="pct" w:w="14%"/>
            <w:tcMar>
              <w:top w:type="dxa" w:w="80"/>
              <w:left w:type="dxa" w:w="110"/>
              <w:bottom w:type="dxa" w:w="80"/>
              <w:right w:type="dxa" w:w="110"/>
            </w:tcMar>
          </w:tcPr>
          <w:p>
            <w:pPr>
              <w:spacing w:after="0"/>
            </w:pPr>
            <w:r>
              <w:rPr>
                <w:sz w:val="17"/>
                <w:szCs w:val="17"/>
              </w:rPr>
              <w:t xml:space="preserve">2.3 ms  (3.5 ms)</w:t>
            </w:r>
          </w:p>
        </w:tc>
        <w:tc>
          <w:tcPr>
            <w:tcW w:type="pct" w:w="14%"/>
            <w:tcMar>
              <w:top w:type="dxa" w:w="80"/>
              <w:left w:type="dxa" w:w="110"/>
              <w:bottom w:type="dxa" w:w="80"/>
              <w:right w:type="dxa" w:w="110"/>
            </w:tcMar>
          </w:tcPr>
          <w:p>
            <w:pPr>
              <w:spacing w:after="0"/>
            </w:pPr>
            <w:r>
              <w:rPr>
                <w:sz w:val="17"/>
                <w:szCs w:val="17"/>
              </w:rPr>
              <w:t xml:space="preserve">2.3 ms  (3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78 ms  (78 ms)</w:t>
            </w:r>
          </w:p>
        </w:tc>
        <w:tc>
          <w:tcPr>
            <w:tcW w:type="pct" w:w="14%"/>
            <w:tcMar>
              <w:top w:type="dxa" w:w="80"/>
              <w:left w:type="dxa" w:w="110"/>
              <w:bottom w:type="dxa" w:w="80"/>
              <w:right w:type="dxa" w:w="110"/>
            </w:tcMar>
          </w:tcPr>
          <w:p>
            <w:pPr>
              <w:spacing w:after="0"/>
            </w:pPr>
            <w:r>
              <w:rPr>
                <w:sz w:val="17"/>
                <w:szCs w:val="17"/>
              </w:rPr>
              <w:t xml:space="preserve">490.4 ms  (490.4 ms)</w:t>
            </w:r>
          </w:p>
        </w:tc>
        <w:tc>
          <w:tcPr>
            <w:tcW w:type="pct" w:w="14%"/>
            <w:tcMar>
              <w:top w:type="dxa" w:w="80"/>
              <w:left w:type="dxa" w:w="110"/>
              <w:bottom w:type="dxa" w:w="80"/>
              <w:right w:type="dxa" w:w="110"/>
            </w:tcMar>
          </w:tcPr>
          <w:p>
            <w:pPr>
              <w:spacing w:after="0"/>
            </w:pPr>
            <w:r>
              <w:rPr>
                <w:sz w:val="17"/>
                <w:szCs w:val="17"/>
              </w:rPr>
              <w:t xml:space="preserve">1.82 s  (1.82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14.7 ms for 1,031 entries, 802.3 ms for 50,143. With the display query, the page costs about 873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2.1 ms on a fresh database and 2.3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(1.82 s at the last step), and that is of no consequence: it is triggered on demand, for an auditor, once per inspection campaign — not on every click.</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1.82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2026-08-06T11:23:41.425Z</dcterms:created>
  <dcterms:modified xsi:type="dcterms:W3CDTF">2026-08-06T11:23:41.425Z</dcterms:modified>
</cp:coreProperties>
</file>

<file path=docProps/custom.xml><?xml version="1.0" encoding="utf-8"?>
<Properties xmlns="http://schemas.openxmlformats.org/officeDocument/2006/custom-properties" xmlns:vt="http://schemas.openxmlformats.org/officeDocument/2006/docPropsVTypes"/>
</file>