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33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bl>
    <w:p>
      <w:pPr>
        <w:pStyle w:val="Heading2"/>
        <w:spacing w:after="140" w:before="320"/>
      </w:pPr>
      <w:r>
        <w:t xml:space="preserve">4. Software risk analysis</w:t>
      </w:r>
    </w:p>
    <w:p>
      <w:pPr>
        <w:spacing w:after="140"/>
      </w:pPr>
      <w:r>
        <w:rPr>
          <w:sz w:val="20"/>
          <w:szCs w:val="20"/>
        </w:rPr>
        <w:t xml:space="preserve">Breakdown: 22 requirements at high risk, 9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6 August 2026 at 11:23</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30 of 30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(eacb5a49b286… ≠ 5ccbc7567c99…),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10485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cmshffrm…, attested fingerprint 3767 CD80 ACC9, manifestation “Testeur QA1 (QA1) · Approuvé · 06/08/2026 11:22:50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138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67bd2e669502d114…;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2036-08-06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190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190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8888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181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20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33 requirements, 29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6 August 2026 at 11:23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2026-08-06T11:23:50.301Z</dcterms:created>
  <dcterms:modified xsi:type="dcterms:W3CDTF">2026-08-06T11:23:50.301Z</dcterms:modified>
</cp:coreProperties>
</file>

<file path=docProps/custom.xml><?xml version="1.0" encoding="utf-8"?>
<Properties xmlns="http://schemas.openxmlformats.org/officeDocument/2006/custom-properties" xmlns:vt="http://schemas.openxmlformats.org/officeDocument/2006/docPropsVTypes"/>
</file>