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Dossier de validation logiciel</w:t>
      </w:r>
    </w:p>
    <w:p>
      <w:pPr>
        <w:spacing w:after="700"/>
        <w:jc w:val="center"/>
      </w:pPr>
      <w:r>
        <w:rPr>
          <w:color w:val="475569"/>
          <w:sz w:val="22"/>
          <w:szCs w:val="22"/>
        </w:rPr>
        <w:t xml:space="preserve">Ce que l'éditeur a vérifié · Ce qu'il vous reste à qualifier</w:t>
      </w:r>
    </w:p>
    <w:p>
      <w:pPr>
        <w:pStyle w:val="Heading1"/>
        <w:spacing w:after="140" w:before="320"/>
      </w:pPr>
      <w:r>
        <w:t xml:space="preserve">1. Objet et périmètre</w:t>
      </w:r>
    </w:p>
    <w:p>
      <w:pPr>
        <w:spacing w:after="120"/>
      </w:pPr>
      <w:r>
        <w:rPr>
          <w:sz w:val="20"/>
          <w:szCs w:val="20"/>
        </w:rPr>
        <w:t xml:space="preserve">Ce dossier documente la validation du logiciel Filum version 1.2.1 par son éditeur. Il est destiné à votre responsable qualité et peut être joint tel quel à votre dossier de qualification.</w:t>
      </w:r>
    </w:p>
    <w:p>
      <w:pPr>
        <w:spacing w:after="160"/>
      </w:pPr>
      <w:r>
        <w:rPr>
          <w:sz w:val="20"/>
          <w:szCs w:val="20"/>
        </w:rPr>
        <w:t xml:space="preserve">Il ne remplace pas votre propre validation. La norme EN ISO 13485:2016 §4.1.6 vous impose de valider les applications informatiques du système de management de la qualité pour VOTRE usage prévu, dans VOTRE environnement. Un dossier fournisseur est une entrée de cette démarche — une entrée substantielle, qui vous évite de reconstruire les preuves du fonctionnement interne du produit, mais qui ne dit rien de la façon dont vous l'employez.</w:t>
      </w:r>
    </w:p>
    <w:p>
      <w:pPr>
        <w:spacing w:after="160"/>
      </w:pPr>
      <w:r>
        <w:rPr>
          <w:sz w:val="20"/>
          <w:szCs w:val="20"/>
        </w:rPr>
        <w:t xml:space="preserve">La FDA le formule de la même manière : sa guidance « Computer Software Assurance for Production and Quality Management System Software » du 3 février 2026 admet explicitement de s'appuyer sur les preuves du fournisseur, et invite à concentrer l'effort de test là où le risque le justifie plutôt qu'à l'étaler uniformément. Le présent dossier est construit ainsi : chaque exigence porte un niveau de risque, et c'est lui qui détermine la profondeur de vérification.</w:t>
      </w:r>
    </w:p>
    <w:p>
      <w:pPr>
        <w:pStyle w:val="Heading2"/>
        <w:spacing w:after="140" w:before="320"/>
      </w:pPr>
      <w:r>
        <w:t xml:space="preserve">2. Référentiels appliqués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0E7FF"/>
            <w:tcMar>
              <w:top w:type="dxa" w:w="80"/>
              <w:left w:type="dxa" w:w="110"/>
              <w:bottom w:type="dxa" w:w="80"/>
              <w:right w:type="dxa" w:w="110"/>
            </w:tcMar>
          </w:tcPr>
          <w:p>
            <w:pPr>
              <w:spacing w:after="0"/>
            </w:pPr>
            <w:r>
              <w:rPr>
                <w:b/>
                <w:bCs/>
                <w:sz w:val="17"/>
                <w:szCs w:val="17"/>
              </w:rPr>
              <w:t xml:space="preserve">Référentiel</w:t>
            </w:r>
          </w:p>
        </w:tc>
        <w:tc>
          <w:tcPr>
            <w:tcW w:type="pct" w:w="70%"/>
            <w:shd w:fill="E0E7FF"/>
            <w:tcMar>
              <w:top w:type="dxa" w:w="80"/>
              <w:left w:type="dxa" w:w="110"/>
              <w:bottom w:type="dxa" w:w="80"/>
              <w:right w:type="dxa" w:w="110"/>
            </w:tcMar>
          </w:tcPr>
          <w:p>
            <w:pPr>
              <w:spacing w:after="0"/>
            </w:pPr>
            <w:r>
              <w:rPr>
                <w:b/>
                <w:bCs/>
                <w:sz w:val="17"/>
                <w:szCs w:val="17"/>
              </w:rPr>
              <w:t xml:space="preserve">Ce qu'il apporte à ce dossier</w:t>
            </w:r>
          </w:p>
        </w:tc>
      </w:tr>
      <w:tr>
        <w:tc>
          <w:tcPr>
            <w:tcW w:type="pct" w:w="30%"/>
            <w:tcMar>
              <w:top w:type="dxa" w:w="80"/>
              <w:left w:type="dxa" w:w="110"/>
              <w:bottom w:type="dxa" w:w="80"/>
              <w:right w:type="dxa" w:w="110"/>
            </w:tcMar>
          </w:tcPr>
          <w:p>
            <w:pPr>
              <w:spacing w:after="0"/>
            </w:pPr>
            <w:r>
              <w:rPr>
                <w:sz w:val="17"/>
                <w:szCs w:val="17"/>
              </w:rPr>
              <w:t xml:space="preserve">EN ISO 13485:2016 §4.1.6</w:t>
            </w:r>
          </w:p>
        </w:tc>
        <w:tc>
          <w:tcPr>
            <w:tcW w:type="pct" w:w="70%"/>
            <w:tcMar>
              <w:top w:type="dxa" w:w="80"/>
              <w:left w:type="dxa" w:w="110"/>
              <w:bottom w:type="dxa" w:w="80"/>
              <w:right w:type="dxa" w:w="110"/>
            </w:tcMar>
          </w:tcPr>
          <w:p>
            <w:pPr>
              <w:spacing w:after="0"/>
            </w:pPr>
            <w:r>
              <w:rPr>
                <w:sz w:val="17"/>
                <w:szCs w:val="17"/>
              </w:rPr>
              <w:t xml:space="preserve">Obligation de valider les logiciels du SMQ proportionnellement au risque, avant usage et après chaque changement.</w:t>
            </w:r>
          </w:p>
        </w:tc>
      </w:tr>
      <w:tr>
        <w:tc>
          <w:tcPr>
            <w:tcW w:type="pct" w:w="30%"/>
            <w:tcMar>
              <w:top w:type="dxa" w:w="80"/>
              <w:left w:type="dxa" w:w="110"/>
              <w:bottom w:type="dxa" w:w="80"/>
              <w:right w:type="dxa" w:w="110"/>
            </w:tcMar>
          </w:tcPr>
          <w:p>
            <w:pPr>
              <w:spacing w:after="0"/>
            </w:pPr>
            <w:r>
              <w:rPr>
                <w:sz w:val="17"/>
                <w:szCs w:val="17"/>
              </w:rPr>
              <w:t xml:space="preserve">FDA — Computer Software Assurance (3 février 2026)</w:t>
            </w:r>
          </w:p>
        </w:tc>
        <w:tc>
          <w:tcPr>
            <w:tcW w:type="pct" w:w="70%"/>
            <w:tcMar>
              <w:top w:type="dxa" w:w="80"/>
              <w:left w:type="dxa" w:w="110"/>
              <w:bottom w:type="dxa" w:w="80"/>
              <w:right w:type="dxa" w:w="110"/>
            </w:tcMar>
          </w:tcPr>
          <w:p>
            <w:pPr>
              <w:spacing w:after="0"/>
            </w:pPr>
            <w:r>
              <w:rPr>
                <w:sz w:val="17"/>
                <w:szCs w:val="17"/>
              </w:rPr>
              <w:t xml:space="preserve">Approche fondée sur l'usage prévu et le risque de processus ; possibilité de s'appuyer sur les preuves du fournisseur. Supersède la version du 24 septembre 2025 et la section 6 des General Principles of Software Validation (2002).</w:t>
            </w:r>
          </w:p>
        </w:tc>
      </w:tr>
      <w:tr>
        <w:tc>
          <w:tcPr>
            <w:tcW w:type="pct" w:w="30%"/>
            <w:tcMar>
              <w:top w:type="dxa" w:w="80"/>
              <w:left w:type="dxa" w:w="110"/>
              <w:bottom w:type="dxa" w:w="80"/>
              <w:right w:type="dxa" w:w="110"/>
            </w:tcMar>
          </w:tcPr>
          <w:p>
            <w:pPr>
              <w:spacing w:after="0"/>
            </w:pPr>
            <w:r>
              <w:rPr>
                <w:sz w:val="17"/>
                <w:szCs w:val="17"/>
              </w:rPr>
              <w:t xml:space="preserve">ISO/TR 80002-2:2017</w:t>
            </w:r>
          </w:p>
        </w:tc>
        <w:tc>
          <w:tcPr>
            <w:tcW w:type="pct" w:w="70%"/>
            <w:tcMar>
              <w:top w:type="dxa" w:w="80"/>
              <w:left w:type="dxa" w:w="110"/>
              <w:bottom w:type="dxa" w:w="80"/>
              <w:right w:type="dxa" w:w="110"/>
            </w:tcMar>
          </w:tcPr>
          <w:p>
            <w:pPr>
              <w:spacing w:after="0"/>
            </w:pPr>
            <w:r>
              <w:rPr>
                <w:sz w:val="17"/>
                <w:szCs w:val="17"/>
              </w:rPr>
              <w:t xml:space="preserve">Guide de validation des logiciels de systèmes qualité pour les dispositifs médicaux — graduation de l'effort selon l'impact.</w:t>
            </w:r>
          </w:p>
        </w:tc>
      </w:tr>
      <w:tr>
        <w:tc>
          <w:tcPr>
            <w:tcW w:type="pct" w:w="30%"/>
            <w:tcMar>
              <w:top w:type="dxa" w:w="80"/>
              <w:left w:type="dxa" w:w="110"/>
              <w:bottom w:type="dxa" w:w="80"/>
              <w:right w:type="dxa" w:w="110"/>
            </w:tcMar>
          </w:tcPr>
          <w:p>
            <w:pPr>
              <w:spacing w:after="0"/>
            </w:pPr>
            <w:r>
              <w:rPr>
                <w:sz w:val="17"/>
                <w:szCs w:val="17"/>
              </w:rPr>
              <w:t xml:space="preserve">GAMP 5 (2e édition, 2022)</w:t>
            </w:r>
          </w:p>
        </w:tc>
        <w:tc>
          <w:tcPr>
            <w:tcW w:type="pct" w:w="70%"/>
            <w:tcMar>
              <w:top w:type="dxa" w:w="80"/>
              <w:left w:type="dxa" w:w="110"/>
              <w:bottom w:type="dxa" w:w="80"/>
              <w:right w:type="dxa" w:w="110"/>
            </w:tcMar>
          </w:tcPr>
          <w:p>
            <w:pPr>
              <w:spacing w:after="0"/>
            </w:pPr>
            <w:r>
              <w:rPr>
                <w:sz w:val="17"/>
                <w:szCs w:val="17"/>
              </w:rPr>
              <w:t xml:space="preserve">Filum est un progiciel configurable (catégorie 4) : la configuration porte sur les rôles, les programmes, les types de documents et la bibliothèque de normes, non sur du code écrit pour un client.</w:t>
            </w:r>
          </w:p>
        </w:tc>
      </w:tr>
      <w:tr>
        <w:tc>
          <w:tcPr>
            <w:tcW w:type="pct" w:w="30%"/>
            <w:tcMar>
              <w:top w:type="dxa" w:w="80"/>
              <w:left w:type="dxa" w:w="110"/>
              <w:bottom w:type="dxa" w:w="80"/>
              <w:right w:type="dxa" w:w="110"/>
            </w:tcMar>
          </w:tcPr>
          <w:p>
            <w:pPr>
              <w:spacing w:after="0"/>
            </w:pPr>
            <w:r>
              <w:rPr>
                <w:sz w:val="17"/>
                <w:szCs w:val="17"/>
              </w:rPr>
              <w:t xml:space="preserve">21 CFR Part 11</w:t>
            </w:r>
          </w:p>
        </w:tc>
        <w:tc>
          <w:tcPr>
            <w:tcW w:type="pct" w:w="70%"/>
            <w:tcMar>
              <w:top w:type="dxa" w:w="80"/>
              <w:left w:type="dxa" w:w="110"/>
              <w:bottom w:type="dxa" w:w="80"/>
              <w:right w:type="dxa" w:w="110"/>
            </w:tcMar>
          </w:tcPr>
          <w:p>
            <w:pPr>
              <w:spacing w:after="0"/>
            </w:pPr>
            <w:r>
              <w:rPr>
                <w:sz w:val="17"/>
                <w:szCs w:val="17"/>
              </w:rPr>
              <w:t xml:space="preserve">Les contrôles techniques dont dépendent vos enregistrements électroniques. La matrice clause par clause est un document séparé, remis avec celui-ci.</w:t>
            </w:r>
          </w:p>
        </w:tc>
      </w:tr>
    </w:tbl>
    <w:p>
      <w:pPr>
        <w:pStyle w:val="Heading1"/>
        <w:spacing w:after="140" w:before="320"/>
      </w:pPr>
      <w:r>
        <w:t xml:space="preserve">3. Exigences de validation</w:t>
      </w:r>
    </w:p>
    <w:p>
      <w:pPr>
        <w:spacing w:after="140"/>
      </w:pPr>
      <w:r>
        <w:rPr>
          <w:sz w:val="20"/>
          <w:szCs w:val="20"/>
        </w:rPr>
        <w:t xml:space="preserve">Les 37 exigences ci-dessous énoncent ce que le logiciel doit faire. Le niveau de risque est celui de la DÉFAILLANCE de l'exigence, pas de son importance commerciale : il détermine la profondeur de vérification.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1%"/>
            <w:shd w:fill="E0E7FF"/>
            <w:tcMar>
              <w:top w:type="dxa" w:w="80"/>
              <w:left w:type="dxa" w:w="110"/>
              <w:bottom w:type="dxa" w:w="80"/>
              <w:right w:type="dxa" w:w="110"/>
            </w:tcMar>
          </w:tcPr>
          <w:p>
            <w:pPr>
              <w:spacing w:after="0"/>
            </w:pPr>
            <w:r>
              <w:rPr>
                <w:b/>
                <w:bCs/>
                <w:sz w:val="17"/>
                <w:szCs w:val="17"/>
              </w:rPr>
              <w:t xml:space="preserve">Réf. / risque</w:t>
            </w:r>
          </w:p>
        </w:tc>
        <w:tc>
          <w:tcPr>
            <w:tcW w:type="pct" w:w="41%"/>
            <w:shd w:fill="E0E7FF"/>
            <w:tcMar>
              <w:top w:type="dxa" w:w="80"/>
              <w:left w:type="dxa" w:w="110"/>
              <w:bottom w:type="dxa" w:w="80"/>
              <w:right w:type="dxa" w:w="110"/>
            </w:tcMar>
          </w:tcPr>
          <w:p>
            <w:pPr>
              <w:spacing w:after="0"/>
            </w:pPr>
            <w:r>
              <w:rPr>
                <w:b/>
                <w:bCs/>
                <w:sz w:val="17"/>
                <w:szCs w:val="17"/>
              </w:rPr>
              <w:t xml:space="preserve">Exigence</w:t>
            </w:r>
          </w:p>
        </w:tc>
        <w:tc>
          <w:tcPr>
            <w:tcW w:type="pct" w:w="28%"/>
            <w:shd w:fill="E0E7FF"/>
            <w:tcMar>
              <w:top w:type="dxa" w:w="80"/>
              <w:left w:type="dxa" w:w="110"/>
              <w:bottom w:type="dxa" w:w="80"/>
              <w:right w:type="dxa" w:w="110"/>
            </w:tcMar>
          </w:tcPr>
          <w:p>
            <w:pPr>
              <w:spacing w:after="0"/>
            </w:pPr>
            <w:r>
              <w:rPr>
                <w:b/>
                <w:bCs/>
                <w:sz w:val="17"/>
                <w:szCs w:val="17"/>
              </w:rPr>
              <w:t xml:space="preserve">Pourquoi ce niveau de risque</w:t>
            </w:r>
          </w:p>
        </w:tc>
        <w:tc>
          <w:tcPr>
            <w:tcW w:type="pct" w:w="20%"/>
            <w:shd w:fill="E0E7FF"/>
            <w:tcMar>
              <w:top w:type="dxa" w:w="80"/>
              <w:left w:type="dxa" w:w="110"/>
              <w:bottom w:type="dxa" w:w="80"/>
              <w:right w:type="dxa" w:w="110"/>
            </w:tcMar>
          </w:tcPr>
          <w:p>
            <w:pPr>
              <w:spacing w:after="0"/>
            </w:pPr>
            <w:r>
              <w:rPr>
                <w:b/>
                <w:bCs/>
                <w:sz w:val="17"/>
                <w:szCs w:val="17"/>
              </w:rPr>
              <w:t xml:space="preserve">Clauses concernées</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logiciel n'expose aucune donnée du dossier de conception sans session authentifiée valide, y compris sur les routes de téléchargement.</w:t>
            </w:r>
          </w:p>
        </w:tc>
        <w:tc>
          <w:tcPr>
            <w:tcW w:type="pct" w:w="28%"/>
            <w:tcMar>
              <w:top w:type="dxa" w:w="80"/>
              <w:left w:type="dxa" w:w="110"/>
              <w:bottom w:type="dxa" w:w="80"/>
              <w:right w:type="dxa" w:w="110"/>
            </w:tcMar>
          </w:tcPr>
          <w:p>
            <w:pPr>
              <w:spacing w:after="0"/>
            </w:pPr>
            <w:r>
              <w:rPr>
                <w:sz w:val="17"/>
                <w:szCs w:val="17"/>
              </w:rPr>
              <w:t xml:space="preserve">Une fuite d'enregistrements de conception compromet le secret industriel du client et l'attribution des actes (ALCOA+).</w:t>
            </w:r>
          </w:p>
        </w:tc>
        <w:tc>
          <w:tcPr>
            <w:tcW w:type="pct" w:w="20%"/>
            <w:tcMar>
              <w:top w:type="dxa" w:w="80"/>
              <w:left w:type="dxa" w:w="110"/>
              <w:bottom w:type="dxa" w:w="80"/>
              <w:right w:type="dxa" w:w="110"/>
            </w:tcMar>
          </w:tcPr>
          <w:p>
            <w:pPr>
              <w:spacing w:after="0"/>
            </w:pPr>
            <w:r>
              <w:rPr>
                <w:sz w:val="17"/>
                <w:szCs w:val="17"/>
              </w:rPr>
              <w:t xml:space="preserve">21 CFR 11.10(d) · 21 CFR 11.10(g)</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Les contrôles d'autorité sont appliqués côté serveur : un rôle ne peut exécuter que les opérations que son niveau permet, indépendamment de ce que l'interface affiche.</w:t>
            </w:r>
          </w:p>
        </w:tc>
        <w:tc>
          <w:tcPr>
            <w:tcW w:type="pct" w:w="28%"/>
            <w:tcMar>
              <w:top w:type="dxa" w:w="80"/>
              <w:left w:type="dxa" w:w="110"/>
              <w:bottom w:type="dxa" w:w="80"/>
              <w:right w:type="dxa" w:w="110"/>
            </w:tcMar>
          </w:tcPr>
          <w:p>
            <w:pPr>
              <w:spacing w:after="0"/>
            </w:pPr>
            <w:r>
              <w:rPr>
                <w:sz w:val="17"/>
                <w:szCs w:val="17"/>
              </w:rPr>
              <w:t xml:space="preserve">Une écriture par une personne non habilitée invalide l'attribution des enregistrements et la responsabilité qui s'y attache.</w:t>
            </w:r>
          </w:p>
        </w:tc>
        <w:tc>
          <w:tcPr>
            <w:tcW w:type="pct" w:w="20%"/>
            <w:tcMar>
              <w:top w:type="dxa" w:w="80"/>
              <w:left w:type="dxa" w:w="110"/>
              <w:bottom w:type="dxa" w:w="80"/>
              <w:right w:type="dxa" w:w="110"/>
            </w:tcMar>
          </w:tcPr>
          <w:p>
            <w:pPr>
              <w:spacing w:after="0"/>
            </w:pPr>
            <w:r>
              <w:rPr>
                <w:sz w:val="17"/>
                <w:szCs w:val="17"/>
              </w:rPr>
              <w:t xml:space="preserve">21 CFR 11.10(d) · 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URS-03</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Toute écriture dans le dossier produit une entrée de piste d'audit portant l'auteur, l'horodatage système et le motif de l'opération.</w:t>
            </w:r>
          </w:p>
        </w:tc>
        <w:tc>
          <w:tcPr>
            <w:tcW w:type="pct" w:w="28%"/>
            <w:tcMar>
              <w:top w:type="dxa" w:w="80"/>
              <w:left w:type="dxa" w:w="110"/>
              <w:bottom w:type="dxa" w:w="80"/>
              <w:right w:type="dxa" w:w="110"/>
            </w:tcMar>
          </w:tcPr>
          <w:p>
            <w:pPr>
              <w:spacing w:after="0"/>
            </w:pPr>
            <w:r>
              <w:rPr>
                <w:sz w:val="17"/>
                <w:szCs w:val="17"/>
              </w:rPr>
              <w:t xml:space="preserve">Sans piste d'audit complète, aucun enregistrement n'est défendable : c'est la première chose qu'un inspecteur demande.</w:t>
            </w:r>
          </w:p>
        </w:tc>
        <w:tc>
          <w:tcPr>
            <w:tcW w:type="pct" w:w="20%"/>
            <w:tcMar>
              <w:top w:type="dxa" w:w="80"/>
              <w:left w:type="dxa" w:w="110"/>
              <w:bottom w:type="dxa" w:w="80"/>
              <w:right w:type="dxa" w:w="110"/>
            </w:tcMar>
          </w:tcPr>
          <w:p>
            <w:pPr>
              <w:spacing w:after="0"/>
            </w:pPr>
            <w:r>
              <w:rPr>
                <w:sz w:val="17"/>
                <w:szCs w:val="17"/>
              </w:rPr>
              <w:t xml:space="preserve">21 CFR 11.10(e)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URS-04</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piste d'audit est en ajout seul : aucune fonction de l'application ne modifie ni ne supprime une entrée existante.</w:t>
            </w:r>
          </w:p>
        </w:tc>
        <w:tc>
          <w:tcPr>
            <w:tcW w:type="pct" w:w="28%"/>
            <w:tcMar>
              <w:top w:type="dxa" w:w="80"/>
              <w:left w:type="dxa" w:w="110"/>
              <w:bottom w:type="dxa" w:w="80"/>
              <w:right w:type="dxa" w:w="110"/>
            </w:tcMar>
          </w:tcPr>
          <w:p>
            <w:pPr>
              <w:spacing w:after="0"/>
            </w:pPr>
            <w:r>
              <w:rPr>
                <w:sz w:val="17"/>
                <w:szCs w:val="17"/>
              </w:rPr>
              <w:t xml:space="preserve">Une piste réinscriptible ne prouve rien ; elle donne au contraire une fausse assurance.</w:t>
            </w:r>
          </w:p>
        </w:tc>
        <w:tc>
          <w:tcPr>
            <w:tcW w:type="pct" w:w="20%"/>
            <w:tcMar>
              <w:top w:type="dxa" w:w="80"/>
              <w:left w:type="dxa" w:w="110"/>
              <w:bottom w:type="dxa" w:w="80"/>
              <w:right w:type="dxa" w:w="110"/>
            </w:tcMar>
          </w:tcPr>
          <w:p>
            <w:pPr>
              <w:spacing w:after="0"/>
            </w:pPr>
            <w:r>
              <w:rPr>
                <w:sz w:val="17"/>
                <w:szCs w:val="17"/>
              </w:rPr>
              <w:t xml:space="preserve">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URS-05</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Chaque apposition de signature électronique exige deux composants d'identification distincts : la session authentifiée et la re-saisie du mot de passe.</w:t>
            </w:r>
          </w:p>
        </w:tc>
        <w:tc>
          <w:tcPr>
            <w:tcW w:type="pct" w:w="28%"/>
            <w:tcMar>
              <w:top w:type="dxa" w:w="80"/>
              <w:left w:type="dxa" w:w="110"/>
              <w:bottom w:type="dxa" w:w="80"/>
              <w:right w:type="dxa" w:w="110"/>
            </w:tcMar>
          </w:tcPr>
          <w:p>
            <w:pPr>
              <w:spacing w:after="0"/>
            </w:pPr>
            <w:r>
              <w:rPr>
                <w:sz w:val="17"/>
                <w:szCs w:val="17"/>
              </w:rPr>
              <w:t xml:space="preserve">Une signature apposée sans ré-authentification peut être le fait de quiconque passe devant un poste déverrouillé.</w:t>
            </w:r>
          </w:p>
        </w:tc>
        <w:tc>
          <w:tcPr>
            <w:tcW w:type="pct" w:w="20%"/>
            <w:tcMar>
              <w:top w:type="dxa" w:w="80"/>
              <w:left w:type="dxa" w:w="110"/>
              <w:bottom w:type="dxa" w:w="80"/>
              <w:right w:type="dxa" w:w="110"/>
            </w:tcMar>
          </w:tcPr>
          <w:p>
            <w:pPr>
              <w:spacing w:after="0"/>
            </w:pPr>
            <w:r>
              <w:rPr>
                <w:sz w:val="17"/>
                <w:szCs w:val="17"/>
              </w:rPr>
              <w:t xml:space="preserve">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URS-06</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Un mot de passe est vérifié contre une empreinte dérivée (scrypt, sel unique par compte) et jamais conservé en clair ; deux comptes de même mot de passe produisent des empreintes différentes.</w:t>
            </w:r>
          </w:p>
        </w:tc>
        <w:tc>
          <w:tcPr>
            <w:tcW w:type="pct" w:w="28%"/>
            <w:tcMar>
              <w:top w:type="dxa" w:w="80"/>
              <w:left w:type="dxa" w:w="110"/>
              <w:bottom w:type="dxa" w:w="80"/>
              <w:right w:type="dxa" w:w="110"/>
            </w:tcMar>
          </w:tcPr>
          <w:p>
            <w:pPr>
              <w:spacing w:after="0"/>
            </w:pPr>
            <w:r>
              <w:rPr>
                <w:sz w:val="17"/>
                <w:szCs w:val="17"/>
              </w:rPr>
              <w:t xml:space="preserve">Le mot de passe est le second composant de la signature électronique : sa compromission compromet toutes les signatures du compte.</w:t>
            </w:r>
          </w:p>
        </w:tc>
        <w:tc>
          <w:tcPr>
            <w:tcW w:type="pct" w:w="20%"/>
            <w:tcMar>
              <w:top w:type="dxa" w:w="80"/>
              <w:left w:type="dxa" w:w="110"/>
              <w:bottom w:type="dxa" w:w="80"/>
              <w:right w:type="dxa" w:w="110"/>
            </w:tcMar>
          </w:tcPr>
          <w:p>
            <w:pPr>
              <w:spacing w:after="0"/>
            </w:pPr>
            <w:r>
              <w:rPr>
                <w:sz w:val="17"/>
                <w:szCs w:val="17"/>
              </w:rPr>
              <w:t xml:space="preserve">21 CFR 11.300(b) · 21 CFR 11.300(d)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URS-07</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manifestation de signature porte, sous forme lisible, le nom imprimé figé du signataire, la signification de la signature et son horodatage UTC.</w:t>
            </w:r>
          </w:p>
        </w:tc>
        <w:tc>
          <w:tcPr>
            <w:tcW w:type="pct" w:w="28%"/>
            <w:tcMar>
              <w:top w:type="dxa" w:w="80"/>
              <w:left w:type="dxa" w:w="110"/>
              <w:bottom w:type="dxa" w:w="80"/>
              <w:right w:type="dxa" w:w="110"/>
            </w:tcMar>
          </w:tcPr>
          <w:p>
            <w:pPr>
              <w:spacing w:after="0"/>
            </w:pPr>
            <w:r>
              <w:rPr>
                <w:sz w:val="17"/>
                <w:szCs w:val="17"/>
              </w:rPr>
              <w:t xml:space="preserve">Une signature dont on ne peut pas lire le sens ni l'auteur n'est pas une signature au sens du 11.50.</w:t>
            </w:r>
          </w:p>
        </w:tc>
        <w:tc>
          <w:tcPr>
            <w:tcW w:type="pct" w:w="20%"/>
            <w:tcMar>
              <w:top w:type="dxa" w:w="80"/>
              <w:left w:type="dxa" w:w="110"/>
              <w:bottom w:type="dxa" w:w="80"/>
              <w:right w:type="dxa" w:w="110"/>
            </w:tcMar>
          </w:tcPr>
          <w:p>
            <w:pPr>
              <w:spacing w:after="0"/>
            </w:pPr>
            <w:r>
              <w:rPr>
                <w:sz w:val="17"/>
                <w:szCs w:val="17"/>
              </w:rPr>
              <w:t xml:space="preserve">21 CFR 11.50(a)</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URS-08</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Chaque signature est liée à l'enregistrement qu'elle atteste par l'empreinte SHA-256 du contenu gelé, recopiée dans l'enregistrement de signature lui-même.</w:t>
            </w:r>
          </w:p>
        </w:tc>
        <w:tc>
          <w:tcPr>
            <w:tcW w:type="pct" w:w="28%"/>
            <w:tcMar>
              <w:top w:type="dxa" w:w="80"/>
              <w:left w:type="dxa" w:w="110"/>
              <w:bottom w:type="dxa" w:w="80"/>
              <w:right w:type="dxa" w:w="110"/>
            </w:tcMar>
          </w:tcPr>
          <w:p>
            <w:pPr>
              <w:spacing w:after="0"/>
            </w:pPr>
            <w:r>
              <w:rPr>
                <w:sz w:val="17"/>
                <w:szCs w:val="17"/>
              </w:rPr>
              <w:t xml:space="preserve">Sans liaison, une signature peut être transposée sur un autre contenu — c'est précisément ce que le 11.70 vise à empêcher.</w:t>
            </w:r>
          </w:p>
        </w:tc>
        <w:tc>
          <w:tcPr>
            <w:tcW w:type="pct" w:w="20%"/>
            <w:tcMar>
              <w:top w:type="dxa" w:w="80"/>
              <w:left w:type="dxa" w:w="110"/>
              <w:bottom w:type="dxa" w:w="80"/>
              <w:right w:type="dxa" w:w="110"/>
            </w:tcMar>
          </w:tcPr>
          <w:p>
            <w:pPr>
              <w:spacing w:after="0"/>
            </w:pPr>
            <w:r>
              <w:rPr>
                <w:sz w:val="17"/>
                <w:szCs w:val="17"/>
              </w:rPr>
              <w:t xml:space="preserve">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URS-09</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mise en revue d'un document GÈLE son contenu : l'empreinte du contenu projeté est calculée et le fichier produit est conservé octet pour octet.</w:t>
            </w:r>
          </w:p>
        </w:tc>
        <w:tc>
          <w:tcPr>
            <w:tcW w:type="pct" w:w="28%"/>
            <w:tcMar>
              <w:top w:type="dxa" w:w="80"/>
              <w:left w:type="dxa" w:w="110"/>
              <w:bottom w:type="dxa" w:w="80"/>
              <w:right w:type="dxa" w:w="110"/>
            </w:tcMar>
          </w:tcPr>
          <w:p>
            <w:pPr>
              <w:spacing w:after="0"/>
            </w:pPr>
            <w:r>
              <w:rPr>
                <w:sz w:val="17"/>
                <w:szCs w:val="17"/>
              </w:rPr>
              <w:t xml:space="preserve">Un document projeté depuis un graphe n'est un enregistrement que si l'on peut dire de quel contenu il s'agit.</w:t>
            </w:r>
          </w:p>
        </w:tc>
        <w:tc>
          <w:tcPr>
            <w:tcW w:type="pct" w:w="20%"/>
            <w:tcMar>
              <w:top w:type="dxa" w:w="80"/>
              <w:left w:type="dxa" w:w="110"/>
              <w:bottom w:type="dxa" w:w="80"/>
              <w:right w:type="dxa" w:w="110"/>
            </w:tcMar>
          </w:tcPr>
          <w:p>
            <w:pPr>
              <w:spacing w:after="0"/>
            </w:pPr>
            <w:r>
              <w:rPr>
                <w:sz w:val="17"/>
                <w:szCs w:val="17"/>
              </w:rPr>
              <w:t xml:space="preserve">21 CFR 11.10(b) · 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URS-10</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téléchargement d'un document gelé sert les octets conservés, jamais une régénération, et refuse le fichier dont l'empreinte ne correspond plus.</w:t>
            </w:r>
          </w:p>
        </w:tc>
        <w:tc>
          <w:tcPr>
            <w:tcW w:type="pct" w:w="28%"/>
            <w:tcMar>
              <w:top w:type="dxa" w:w="80"/>
              <w:left w:type="dxa" w:w="110"/>
              <w:bottom w:type="dxa" w:w="80"/>
              <w:right w:type="dxa" w:w="110"/>
            </w:tcMar>
          </w:tcPr>
          <w:p>
            <w:pPr>
              <w:spacing w:after="0"/>
            </w:pPr>
            <w:r>
              <w:rPr>
                <w:sz w:val="17"/>
                <w:szCs w:val="17"/>
              </w:rPr>
              <w:t xml:space="preserve">Servir une régénération à la place de l'enregistrement approuvé revient à remettre à l'inspecteur un document que personne n'a signé.</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publication est refusée si le contenu a changé depuis le gel, et l'écart est inscrit dans la piste d'audit avec les deux empreintes.</w:t>
            </w:r>
          </w:p>
        </w:tc>
        <w:tc>
          <w:tcPr>
            <w:tcW w:type="pct" w:w="28%"/>
            <w:tcMar>
              <w:top w:type="dxa" w:w="80"/>
              <w:left w:type="dxa" w:w="110"/>
              <w:bottom w:type="dxa" w:w="80"/>
              <w:right w:type="dxa" w:w="110"/>
            </w:tcMar>
          </w:tcPr>
          <w:p>
            <w:pPr>
              <w:spacing w:after="0"/>
            </w:pPr>
            <w:r>
              <w:rPr>
                <w:sz w:val="17"/>
                <w:szCs w:val="17"/>
              </w:rPr>
              <w:t xml:space="preserve">Publier un contenu différent de celui qui a été signé produirait un enregistrement approuvé que personne n'a réellement approuvé.</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Toute reprise du contenu — retour en brouillon ou nouvelle révision — invalide l'intégralité des signatures apposées et efface ce qui décrivait le geste.</w:t>
            </w:r>
          </w:p>
        </w:tc>
        <w:tc>
          <w:tcPr>
            <w:tcW w:type="pct" w:w="28%"/>
            <w:tcMar>
              <w:top w:type="dxa" w:w="80"/>
              <w:left w:type="dxa" w:w="110"/>
              <w:bottom w:type="dxa" w:w="80"/>
              <w:right w:type="dxa" w:w="110"/>
            </w:tcMar>
          </w:tcPr>
          <w:p>
            <w:pPr>
              <w:spacing w:after="0"/>
            </w:pPr>
            <w:r>
              <w:rPr>
                <w:sz w:val="17"/>
                <w:szCs w:val="17"/>
              </w:rPr>
              <w:t xml:space="preserve">Une signature qui survit à une modification du contenu atteste d'un état qui n'existe plus.</w:t>
            </w:r>
          </w:p>
        </w:tc>
        <w:tc>
          <w:tcPr>
            <w:tcW w:type="pct" w:w="20%"/>
            <w:tcMar>
              <w:top w:type="dxa" w:w="80"/>
              <w:left w:type="dxa" w:w="110"/>
              <w:bottom w:type="dxa" w:w="80"/>
              <w:right w:type="dxa" w:w="110"/>
            </w:tcMar>
          </w:tcPr>
          <w:p>
            <w:pPr>
              <w:spacing w:after="0"/>
            </w:pPr>
            <w:r>
              <w:rPr>
                <w:sz w:val="17"/>
                <w:szCs w:val="17"/>
              </w:rPr>
              <w:t xml:space="preserve">21 CFR 11.70 · ISO 13485 §7.3.9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URS-13</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publication est verrouillée : au moins une signature apposée, aucune approbation en attente, aucun fil de revue ouvert.</w:t>
            </w:r>
          </w:p>
        </w:tc>
        <w:tc>
          <w:tcPr>
            <w:tcW w:type="pct" w:w="28%"/>
            <w:tcMar>
              <w:top w:type="dxa" w:w="80"/>
              <w:left w:type="dxa" w:w="110"/>
              <w:bottom w:type="dxa" w:w="80"/>
              <w:right w:type="dxa" w:w="110"/>
            </w:tcMar>
          </w:tcPr>
          <w:p>
            <w:pPr>
              <w:spacing w:after="0"/>
            </w:pPr>
            <w:r>
              <w:rPr>
                <w:sz w:val="17"/>
                <w:szCs w:val="17"/>
              </w:rPr>
              <w:t xml:space="preserve">Un document publié sans signature contredirait le processus de maîtrise documentaire, sans toutefois altérer un enregistrement existant.</w:t>
            </w:r>
          </w:p>
        </w:tc>
        <w:tc>
          <w:tcPr>
            <w:tcW w:type="pct" w:w="20%"/>
            <w:tcMar>
              <w:top w:type="dxa" w:w="80"/>
              <w:left w:type="dxa" w:w="110"/>
              <w:bottom w:type="dxa" w:w="80"/>
              <w:right w:type="dxa" w:w="110"/>
            </w:tcMar>
          </w:tcPr>
          <w:p>
            <w:pPr>
              <w:spacing w:after="0"/>
            </w:pPr>
            <w:r>
              <w:rPr>
                <w:sz w:val="17"/>
                <w:szCs w:val="17"/>
              </w:rPr>
              <w:t xml:space="preserve">ISO 13485 §4.2.4 · ISO 13485 §7.3.5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URS-14</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Les gels de contenu sont en ajout seul : un gel dépassé est marqué comme tel et reste consultable et téléchargeable.</w:t>
            </w:r>
          </w:p>
        </w:tc>
        <w:tc>
          <w:tcPr>
            <w:tcW w:type="pct" w:w="28%"/>
            <w:tcMar>
              <w:top w:type="dxa" w:w="80"/>
              <w:left w:type="dxa" w:w="110"/>
              <w:bottom w:type="dxa" w:w="80"/>
              <w:right w:type="dxa" w:w="110"/>
            </w:tcMar>
          </w:tcPr>
          <w:p>
            <w:pPr>
              <w:spacing w:after="0"/>
            </w:pPr>
            <w:r>
              <w:rPr>
                <w:sz w:val="17"/>
                <w:szCs w:val="17"/>
              </w:rPr>
              <w:t xml:space="preserve">L'enregistrement approuvé d'une révision antérieure doit rester disponible pendant toute la durée de rétention.</w:t>
            </w:r>
          </w:p>
        </w:tc>
        <w:tc>
          <w:tcPr>
            <w:tcW w:type="pct" w:w="20%"/>
            <w:tcMar>
              <w:top w:type="dxa" w:w="80"/>
              <w:left w:type="dxa" w:w="110"/>
              <w:bottom w:type="dxa" w:w="80"/>
              <w:right w:type="dxa" w:w="110"/>
            </w:tcMar>
          </w:tcPr>
          <w:p>
            <w:pPr>
              <w:spacing w:after="0"/>
            </w:pPr>
            <w:r>
              <w:rPr>
                <w:sz w:val="17"/>
                <w:szCs w:val="17"/>
              </w:rPr>
              <w:t xml:space="preserve">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URS-15</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moteur de calcul de performance analytique restitue, sur les exemples travaillés des protocoles CLSI EP05, EP06, EP09, EP17, EP25 et EP26, les valeurs publiées par ces protocoles.</w:t>
            </w:r>
          </w:p>
        </w:tc>
        <w:tc>
          <w:tcPr>
            <w:tcW w:type="pct" w:w="28%"/>
            <w:tcMar>
              <w:top w:type="dxa" w:w="80"/>
              <w:left w:type="dxa" w:w="110"/>
              <w:bottom w:type="dxa" w:w="80"/>
              <w:right w:type="dxa" w:w="110"/>
            </w:tcMar>
          </w:tcPr>
          <w:p>
            <w:pPr>
              <w:spacing w:after="0"/>
            </w:pPr>
            <w:r>
              <w:rPr>
                <w:sz w:val="17"/>
                <w:szCs w:val="17"/>
              </w:rPr>
              <w:t xml:space="preserve">Un calcul faux produirait une conclusion de conformité fausse sur une performance analytique revendiquée au dossier de marquage.</w:t>
            </w:r>
          </w:p>
        </w:tc>
        <w:tc>
          <w:tcPr>
            <w:tcW w:type="pct" w:w="20%"/>
            <w:tcMar>
              <w:top w:type="dxa" w:w="80"/>
              <w:left w:type="dxa" w:w="110"/>
              <w:bottom w:type="dxa" w:w="80"/>
              <w:right w:type="dxa" w:w="110"/>
            </w:tcMar>
          </w:tcPr>
          <w:p>
            <w:pPr>
              <w:spacing w:after="0"/>
            </w:pPr>
            <w:r>
              <w:rPr>
                <w:sz w:val="17"/>
                <w:szCs w:val="17"/>
              </w:rPr>
              <w:t xml:space="preserve">ISO 13485 §7.3.6 · IVDR annexe I §9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URS-16</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Les caractères de contrôle interdits par la spécification XML sont neutralisés à la saisie, de sorte qu'aucune donnée reprise d'un outil tiers ne rende illisible un enregistrement généré.</w:t>
            </w:r>
          </w:p>
        </w:tc>
        <w:tc>
          <w:tcPr>
            <w:tcW w:type="pct" w:w="28%"/>
            <w:tcMar>
              <w:top w:type="dxa" w:w="80"/>
              <w:left w:type="dxa" w:w="110"/>
              <w:bottom w:type="dxa" w:w="80"/>
              <w:right w:type="dxa" w:w="110"/>
            </w:tcMar>
          </w:tcPr>
          <w:p>
            <w:pPr>
              <w:spacing w:after="0"/>
            </w:pPr>
            <w:r>
              <w:rPr>
                <w:sz w:val="17"/>
                <w:szCs w:val="17"/>
              </w:rPr>
              <w:t xml:space="preserve">Un enregistrement corrompu est un enregistrement perdu : la donnée existe en base mais la copie lisible ne s'ouvre plus.</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URS-17</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reprise de données par fichier tabulé neutralise les amorces de formule et préserve les cellules multi-lignes entre guillemets.</w:t>
            </w:r>
          </w:p>
        </w:tc>
        <w:tc>
          <w:tcPr>
            <w:tcW w:type="pct" w:w="28%"/>
            <w:tcMar>
              <w:top w:type="dxa" w:w="80"/>
              <w:left w:type="dxa" w:w="110"/>
              <w:bottom w:type="dxa" w:w="80"/>
              <w:right w:type="dxa" w:w="110"/>
            </w:tcMar>
          </w:tcPr>
          <w:p>
            <w:pPr>
              <w:spacing w:after="0"/>
            </w:pPr>
            <w:r>
              <w:rPr>
                <w:sz w:val="17"/>
                <w:szCs w:val="17"/>
              </w:rPr>
              <w:t xml:space="preserve">Une valeur interprétée comme formule par le tableur affiche une erreur là où l'écran affiche la donnée juste — l'écart se découvre en audit.</w:t>
            </w:r>
          </w:p>
        </w:tc>
        <w:tc>
          <w:tcPr>
            <w:tcW w:type="pct" w:w="20%"/>
            <w:tcMar>
              <w:top w:type="dxa" w:w="80"/>
              <w:left w:type="dxa" w:w="110"/>
              <w:bottom w:type="dxa" w:w="80"/>
              <w:right w:type="dxa" w:w="110"/>
            </w:tcMar>
          </w:tcPr>
          <w:p>
            <w:pPr>
              <w:spacing w:after="0"/>
            </w:pPr>
            <w:r>
              <w:rPr>
                <w:sz w:val="17"/>
                <w:szCs w:val="17"/>
              </w:rPr>
              <w:t xml:space="preserve">21 CFR 11.10(b)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URS-18</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L'empreinte de contenu est déterministe : un même contenu projeté produit toujours la même empreinte, et toute modification du contenu la change.</w:t>
            </w:r>
          </w:p>
        </w:tc>
        <w:tc>
          <w:tcPr>
            <w:tcW w:type="pct" w:w="28%"/>
            <w:tcMar>
              <w:top w:type="dxa" w:w="80"/>
              <w:left w:type="dxa" w:w="110"/>
              <w:bottom w:type="dxa" w:w="80"/>
              <w:right w:type="dxa" w:w="110"/>
            </w:tcMar>
          </w:tcPr>
          <w:p>
            <w:pPr>
              <w:spacing w:after="0"/>
            </w:pPr>
            <w:r>
              <w:rPr>
                <w:sz w:val="17"/>
                <w:szCs w:val="17"/>
              </w:rPr>
              <w:t xml:space="preserve">Une empreinte instable produirait de faux refus de publication ; une empreinte insensible laisserait passer une dérive réelle.</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URS-19</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Deux personnes modifiant simultanément le même élément ne s'écrasent pas en silence : la seconde écriture est refusée et la saisie conservée.</w:t>
            </w:r>
          </w:p>
        </w:tc>
        <w:tc>
          <w:tcPr>
            <w:tcW w:type="pct" w:w="28%"/>
            <w:tcMar>
              <w:top w:type="dxa" w:w="80"/>
              <w:left w:type="dxa" w:w="110"/>
              <w:bottom w:type="dxa" w:w="80"/>
              <w:right w:type="dxa" w:w="110"/>
            </w:tcMar>
          </w:tcPr>
          <w:p>
            <w:pPr>
              <w:spacing w:after="0"/>
            </w:pPr>
            <w:r>
              <w:rPr>
                <w:sz w:val="17"/>
                <w:szCs w:val="17"/>
              </w:rPr>
              <w:t xml:space="preserve">Une perte silencieuse de travail fait disparaître une décision de conception sans laisser de trace.</w:t>
            </w:r>
          </w:p>
        </w:tc>
        <w:tc>
          <w:tcPr>
            <w:tcW w:type="pct" w:w="20%"/>
            <w:tcMar>
              <w:top w:type="dxa" w:w="80"/>
              <w:left w:type="dxa" w:w="110"/>
              <w:bottom w:type="dxa" w:w="80"/>
              <w:right w:type="dxa" w:w="110"/>
            </w:tcMar>
          </w:tcPr>
          <w:p>
            <w:pPr>
              <w:spacing w:after="0"/>
            </w:pPr>
            <w:r>
              <w:rPr>
                <w:sz w:val="17"/>
                <w:szCs w:val="17"/>
              </w:rPr>
              <w:t xml:space="preserve">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URS-20</w:t>
            </w:r>
          </w:p>
          <w:p>
            <w:pPr>
              <w:spacing w:after="0"/>
            </w:pPr>
            <w:r>
              <w:rPr>
                <w:b/>
                <w:bCs/>
                <w:color w:val="475569"/>
                <w:sz w:val="15"/>
                <w:szCs w:val="15"/>
              </w:rPr>
              <w:t xml:space="preserve">Bas</w:t>
            </w:r>
          </w:p>
        </w:tc>
        <w:tc>
          <w:tcPr>
            <w:tcW w:type="pct" w:w="41%"/>
            <w:tcMar>
              <w:top w:type="dxa" w:w="80"/>
              <w:left w:type="dxa" w:w="110"/>
              <w:bottom w:type="dxa" w:w="80"/>
              <w:right w:type="dxa" w:w="110"/>
            </w:tcMar>
          </w:tcPr>
          <w:p>
            <w:pPr>
              <w:spacing w:after="0"/>
            </w:pPr>
            <w:r>
              <w:rPr>
                <w:sz w:val="17"/>
                <w:szCs w:val="17"/>
              </w:rPr>
              <w:t xml:space="preserve">Le logiciel identifie sa propre version dans l'interface, de sorte qu'un enregistrement puisse être rattaché à la version qui l'a produit.</w:t>
            </w:r>
          </w:p>
        </w:tc>
        <w:tc>
          <w:tcPr>
            <w:tcW w:type="pct" w:w="28%"/>
            <w:tcMar>
              <w:top w:type="dxa" w:w="80"/>
              <w:left w:type="dxa" w:w="110"/>
              <w:bottom w:type="dxa" w:w="80"/>
              <w:right w:type="dxa" w:w="110"/>
            </w:tcMar>
          </w:tcPr>
          <w:p>
            <w:pPr>
              <w:spacing w:after="0"/>
            </w:pPr>
            <w:r>
              <w:rPr>
                <w:sz w:val="17"/>
                <w:szCs w:val="17"/>
              </w:rPr>
              <w:t xml:space="preserve">Sans identification de version, la revalidation après mise à jour ne peut pas être bornée.</w:t>
            </w:r>
          </w:p>
        </w:tc>
        <w:tc>
          <w:tcPr>
            <w:tcW w:type="pct" w:w="20%"/>
            <w:tcMar>
              <w:top w:type="dxa" w:w="80"/>
              <w:left w:type="dxa" w:w="110"/>
              <w:bottom w:type="dxa" w:w="80"/>
              <w:right w:type="dxa" w:w="110"/>
            </w:tcMar>
          </w:tcPr>
          <w:p>
            <w:pPr>
              <w:spacing w:after="0"/>
            </w:pPr>
            <w:r>
              <w:rPr>
                <w:sz w:val="17"/>
                <w:szCs w:val="17"/>
              </w:rPr>
              <w:t xml:space="preserve">ISO 13485 §4.1.6 · GAMP 5 §M4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système produit une archive d'inspection lisible hors de lui : les octets exacts de chaque enregistrement figé, un manifeste, et des empreintes vérifiables par un outil standard. Un enregistrement altéré sur disque y est signalé, jamais présenté comme intact.</w:t>
            </w:r>
          </w:p>
        </w:tc>
        <w:tc>
          <w:tcPr>
            <w:tcW w:type="pct" w:w="28%"/>
            <w:tcMar>
              <w:top w:type="dxa" w:w="80"/>
              <w:left w:type="dxa" w:w="110"/>
              <w:bottom w:type="dxa" w:w="80"/>
              <w:right w:type="dxa" w:w="110"/>
            </w:tcMar>
          </w:tcPr>
          <w:p>
            <w:pPr>
              <w:spacing w:after="0"/>
            </w:pPr>
            <w:r>
              <w:rPr>
                <w:sz w:val="17"/>
                <w:szCs w:val="17"/>
              </w:rPr>
              <w:t xml:space="preserve">La durée de rétention réglementaire dépasse la durée de vie de toute installation logicielle : une restitution qui dépendrait du produit ne tiendrait pas dix ans. Une archive qui masquerait une altération serait pire qu'aucune archive.</w:t>
            </w:r>
          </w:p>
        </w:tc>
        <w:tc>
          <w:tcPr>
            <w:tcW w:type="pct" w:w="20%"/>
            <w:tcMar>
              <w:top w:type="dxa" w:w="80"/>
              <w:left w:type="dxa" w:w="110"/>
              <w:bottom w:type="dxa" w:w="80"/>
              <w:right w:type="dxa" w:w="110"/>
            </w:tcMar>
          </w:tcPr>
          <w:p>
            <w:pPr>
              <w:spacing w:after="0"/>
            </w:pPr>
            <w:r>
              <w:rPr>
                <w:sz w:val="17"/>
                <w:szCs w:val="17"/>
              </w:rPr>
              <w:t xml:space="preserve">21 CFR 11.10(b) · 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conservation légale suspend toute suppression, y compris celles qu'un administrateur peut faire par ailleurs. Sa pose et sa levée exigent chacune un motif écrit et sont journalisées.</w:t>
            </w:r>
          </w:p>
        </w:tc>
        <w:tc>
          <w:tcPr>
            <w:tcW w:type="pct" w:w="28%"/>
            <w:tcMar>
              <w:top w:type="dxa" w:w="80"/>
              <w:left w:type="dxa" w:w="110"/>
              <w:bottom w:type="dxa" w:w="80"/>
              <w:right w:type="dxa" w:w="110"/>
            </w:tcMar>
          </w:tcPr>
          <w:p>
            <w:pPr>
              <w:spacing w:after="0"/>
            </w:pPr>
            <w:r>
              <w:rPr>
                <w:sz w:val="17"/>
                <w:szCs w:val="17"/>
              </w:rPr>
              <w:t xml:space="preserve">Une suppression pratiquée pendant une instruction ou un litige constitue une destruction de preuve, quelle que soit l'intention.</w:t>
            </w:r>
          </w:p>
        </w:tc>
        <w:tc>
          <w:tcPr>
            <w:tcW w:type="pct" w:w="20%"/>
            <w:tcMar>
              <w:top w:type="dxa" w:w="80"/>
              <w:left w:type="dxa" w:w="110"/>
              <w:bottom w:type="dxa" w:w="80"/>
              <w:right w:type="dxa" w:w="110"/>
            </w:tcMar>
          </w:tcPr>
          <w:p>
            <w:pPr>
              <w:spacing w:after="0"/>
            </w:pPr>
            <w:r>
              <w:rPr>
                <w:sz w:val="17"/>
                <w:szCs w:val="17"/>
              </w:rPr>
              <w:t xml:space="preserve">21 CFR 11.10(c)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URS-23</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durée de conservation déclarée est reportée sur chaque enregistrement de l'archive sous forme d'échéance. Tant qu'aucune durée n'est déclarée, l'archive le dit explicitement au lieu d'afficher une valeur par défaut.</w:t>
            </w:r>
          </w:p>
        </w:tc>
        <w:tc>
          <w:tcPr>
            <w:tcW w:type="pct" w:w="28%"/>
            <w:tcMar>
              <w:top w:type="dxa" w:w="80"/>
              <w:left w:type="dxa" w:w="110"/>
              <w:bottom w:type="dxa" w:w="80"/>
              <w:right w:type="dxa" w:w="110"/>
            </w:tcMar>
          </w:tcPr>
          <w:p>
            <w:pPr>
              <w:spacing w:after="0"/>
            </w:pPr>
            <w:r>
              <w:rPr>
                <w:sz w:val="17"/>
                <w:szCs w:val="17"/>
              </w:rPr>
              <w:t xml:space="preserve">Une durée par défaut inventée par le logiciel serait lue comme une décision de l'organisation et pourrait contredire sa procédure réelle.</w:t>
            </w:r>
          </w:p>
        </w:tc>
        <w:tc>
          <w:tcPr>
            <w:tcW w:type="pct" w:w="20%"/>
            <w:tcMar>
              <w:top w:type="dxa" w:w="80"/>
              <w:left w:type="dxa" w:w="110"/>
              <w:bottom w:type="dxa" w:w="80"/>
              <w:right w:type="dxa" w:w="110"/>
            </w:tcMar>
          </w:tcPr>
          <w:p>
            <w:pPr>
              <w:spacing w:after="0"/>
            </w:pPr>
            <w:r>
              <w:rPr>
                <w:sz w:val="17"/>
                <w:szCs w:val="17"/>
              </w:rPr>
              <w:t xml:space="preserve">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URS-24</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liaison entre une signature et l'enregistrement qu'elle atteste survit à l'ouverture des révisions suivantes : l'approbation d'une révision publiée conserve son signataire, son horodatage, l'instantané signé et l'empreinte du contenu attesté.</w:t>
            </w:r>
          </w:p>
        </w:tc>
        <w:tc>
          <w:tcPr>
            <w:tcW w:type="pct" w:w="28%"/>
            <w:tcMar>
              <w:top w:type="dxa" w:w="80"/>
              <w:left w:type="dxa" w:w="110"/>
              <w:bottom w:type="dxa" w:w="80"/>
              <w:right w:type="dxa" w:w="110"/>
            </w:tcMar>
          </w:tcPr>
          <w:p>
            <w:pPr>
              <w:spacing w:after="0"/>
            </w:pPr>
            <w:r>
              <w:rPr>
                <w:sz w:val="17"/>
                <w:szCs w:val="17"/>
              </w:rPr>
              <w:t xml:space="preserve">Un enregistrement approuvé conservé sans la signature qui l'atteste ne prouve plus rien, et c'est le premier écart relevé en remontant l'historique d'un document révisé.</w:t>
            </w:r>
          </w:p>
        </w:tc>
        <w:tc>
          <w:tcPr>
            <w:tcW w:type="pct" w:w="20%"/>
            <w:tcMar>
              <w:top w:type="dxa" w:w="80"/>
              <w:left w:type="dxa" w:w="110"/>
              <w:bottom w:type="dxa" w:w="80"/>
              <w:right w:type="dxa" w:w="110"/>
            </w:tcMar>
          </w:tcPr>
          <w:p>
            <w:pPr>
              <w:spacing w:after="0"/>
            </w:pPr>
            <w:r>
              <w:rPr>
                <w:sz w:val="17"/>
                <w:szCs w:val="17"/>
              </w:rPr>
              <w:t xml:space="preserve">21 CFR 11.70 · 21 CFR 11.10(c) · ISO 13485 §4.2.4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URS-25</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 système obtient d'une autorité tierce un jeton d'horodatage RFC 3161 sur l'ancre de l'archive, contrôle que le jeton atteste bien cette empreinte et ce nonce, et le conserve tel quel pour vérification hors du logiciel. L'indisponibilité de l'autorité ne bloque jamais l'extraction.</w:t>
            </w:r>
          </w:p>
        </w:tc>
        <w:tc>
          <w:tcPr>
            <w:tcW w:type="pct" w:w="28%"/>
            <w:tcMar>
              <w:top w:type="dxa" w:w="80"/>
              <w:left w:type="dxa" w:w="110"/>
              <w:bottom w:type="dxa" w:w="80"/>
              <w:right w:type="dxa" w:w="110"/>
            </w:tcMar>
          </w:tcPr>
          <w:p>
            <w:pPr>
              <w:spacing w:after="0"/>
            </w:pPr>
            <w:r>
              <w:rPr>
                <w:sz w:val="17"/>
                <w:szCs w:val="17"/>
              </w:rPr>
              <w:t xml:space="preserve">Une empreinte n'établit pas qu'un contenu existait à une date donnée : sans horodatage tiers, l'antériorité d'un enregistrement repose sur la seule parole de l'organisation. À l'inverse, un jeton accepté sans contrôle de l'empreinte attestée donnerait une fausse assurance.</w:t>
            </w:r>
          </w:p>
        </w:tc>
        <w:tc>
          <w:tcPr>
            <w:tcW w:type="pct" w:w="20%"/>
            <w:tcMar>
              <w:top w:type="dxa" w:w="80"/>
              <w:left w:type="dxa" w:w="110"/>
              <w:bottom w:type="dxa" w:w="80"/>
              <w:right w:type="dxa" w:w="110"/>
            </w:tcMar>
          </w:tcPr>
          <w:p>
            <w:pPr>
              <w:spacing w:after="0"/>
            </w:pPr>
            <w:r>
              <w:rPr>
                <w:sz w:val="17"/>
                <w:szCs w:val="17"/>
              </w:rPr>
              <w:t xml:space="preserve">21 CFR 11.10(c) · eIDAS art. 41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URS-26</w:t>
            </w:r>
          </w:p>
          <w:p>
            <w:pPr>
              <w:spacing w:after="0"/>
            </w:pPr>
            <w:r>
              <w:rPr>
                <w:b/>
                <w:bCs/>
                <w:color w:val="475569"/>
                <w:sz w:val="15"/>
                <w:szCs w:val="15"/>
              </w:rPr>
              <w:t xml:space="preserve">Bas</w:t>
            </w:r>
          </w:p>
        </w:tc>
        <w:tc>
          <w:tcPr>
            <w:tcW w:type="pct" w:w="41%"/>
            <w:tcMar>
              <w:top w:type="dxa" w:w="80"/>
              <w:left w:type="dxa" w:w="110"/>
              <w:bottom w:type="dxa" w:w="80"/>
              <w:right w:type="dxa" w:w="110"/>
            </w:tcMar>
          </w:tcPr>
          <w:p>
            <w:pPr>
              <w:spacing w:after="0"/>
            </w:pPr>
            <w:r>
              <w:rPr>
                <w:sz w:val="17"/>
                <w:szCs w:val="17"/>
              </w:rPr>
              <w:t xml:space="preserve">La procédure de remise à zéro de la base traite chaque modèle du schéma : aucun modèle ajouté ne peut être oublié sans que la qualification le signale.</w:t>
            </w:r>
          </w:p>
        </w:tc>
        <w:tc>
          <w:tcPr>
            <w:tcW w:type="pct" w:w="28%"/>
            <w:tcMar>
              <w:top w:type="dxa" w:w="80"/>
              <w:left w:type="dxa" w:w="110"/>
              <w:bottom w:type="dxa" w:w="80"/>
              <w:right w:type="dxa" w:w="110"/>
            </w:tcMar>
          </w:tcPr>
          <w:p>
            <w:pPr>
              <w:spacing w:after="0"/>
            </w:pPr>
            <w:r>
              <w:rPr>
                <w:sz w:val="17"/>
                <w:szCs w:val="17"/>
              </w:rPr>
              <w:t xml:space="preserve">Une remise à zéro incomplète échoue en cours de route sur une clé étrangère et laisse la base à demi vidée. L'effet est limité aux environnements de développement et de démonstration — aucune installation en service ne l'exécute — mais le défaut est passé inaperçu trois fois.</w:t>
            </w:r>
          </w:p>
        </w:tc>
        <w:tc>
          <w:tcPr>
            <w:tcW w:type="pct" w:w="20%"/>
            <w:tcMar>
              <w:top w:type="dxa" w:w="80"/>
              <w:left w:type="dxa" w:w="110"/>
              <w:bottom w:type="dxa" w:w="80"/>
              <w:right w:type="dxa" w:w="110"/>
            </w:tcMar>
          </w:tcPr>
          <w:p>
            <w:pPr>
              <w:spacing w:after="0"/>
            </w:pPr>
            <w:r>
              <w:rPr>
                <w:sz w:val="17"/>
                <w:szCs w:val="17"/>
              </w:rPr>
              <w:t xml:space="preserve">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URS-27</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Chaque entrée de piste d'audit porte l'empreinte de la précédente. Toute modification ou suppression pratiquée directement en base, hors application, est détectée à la vérification, qui désigne le rang où la chaîne se rompt.</w:t>
            </w:r>
          </w:p>
        </w:tc>
        <w:tc>
          <w:tcPr>
            <w:tcW w:type="pct" w:w="28%"/>
            <w:tcMar>
              <w:top w:type="dxa" w:w="80"/>
              <w:left w:type="dxa" w:w="110"/>
              <w:bottom w:type="dxa" w:w="80"/>
              <w:right w:type="dxa" w:w="110"/>
            </w:tcMar>
          </w:tcPr>
          <w:p>
            <w:pPr>
              <w:spacing w:after="0"/>
            </w:pPr>
            <w:r>
              <w:rPr>
                <w:sz w:val="17"/>
                <w:szCs w:val="17"/>
              </w:rPr>
              <w:t xml:space="preserve">La piste d'audit est l'enregistrement sur lequel reposent tous les autres. Une piste réinscriptible en silence ne prouve rien : elle donne une fausse assurance, ce qui est pire que l'absence de piste.</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URS-28</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Toute écriture dans la piste passe par un point de passage unique qui calcule la chaîne. Les outils privilégiés de la console serveur, qui ne peuvent pas charger le code de l'application, utilisent une implémentation miroir dont l'équivalence est prouvée.</w:t>
            </w:r>
          </w:p>
        </w:tc>
        <w:tc>
          <w:tcPr>
            <w:tcW w:type="pct" w:w="28%"/>
            <w:tcMar>
              <w:top w:type="dxa" w:w="80"/>
              <w:left w:type="dxa" w:w="110"/>
              <w:bottom w:type="dxa" w:w="80"/>
              <w:right w:type="dxa" w:w="110"/>
            </w:tcMar>
          </w:tcPr>
          <w:p>
            <w:pPr>
              <w:spacing w:after="0"/>
            </w:pPr>
            <w:r>
              <w:rPr>
                <w:sz w:val="17"/>
                <w:szCs w:val="17"/>
              </w:rPr>
              <w:t xml:space="preserve">Une écriture qui contournerait le chaînage produirait une entrée sans empreinte, donc une rupture indiscernable d'une altération réelle — et l'alerte finirait par être ignorée.</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URS-29</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date du dernier changement de mot de passe est enregistrée à chaque écriture, au changement personnel comme à la consommation d'un jeton de réinitialisation, et l'âge de chaque mot de passe est consultable — ce qui rend possible la vérification périodique des identifiants même sans expiration imposée.</w:t>
            </w:r>
          </w:p>
        </w:tc>
        <w:tc>
          <w:tcPr>
            <w:tcW w:type="pct" w:w="28%"/>
            <w:tcMar>
              <w:top w:type="dxa" w:w="80"/>
              <w:left w:type="dxa" w:w="110"/>
              <w:bottom w:type="dxa" w:w="80"/>
              <w:right w:type="dxa" w:w="110"/>
            </w:tcMar>
          </w:tcPr>
          <w:p>
            <w:pPr>
              <w:spacing w:after="0"/>
            </w:pPr>
            <w:r>
              <w:rPr>
                <w:sz w:val="17"/>
                <w:szCs w:val="17"/>
              </w:rPr>
              <w:t xml:space="preserve">Sans date de changement, aucune revue périodique des identifiants n'est possible : la clause demande d'abord de vérifier, et l'on ne vérifie pas ce qu'on ne mesure pas.</w:t>
            </w:r>
          </w:p>
        </w:tc>
        <w:tc>
          <w:tcPr>
            <w:tcW w:type="pct" w:w="20%"/>
            <w:tcMar>
              <w:top w:type="dxa" w:w="80"/>
              <w:left w:type="dxa" w:w="110"/>
              <w:bottom w:type="dxa" w:w="80"/>
              <w:right w:type="dxa" w:w="110"/>
            </w:tcMar>
          </w:tcPr>
          <w:p>
            <w:pPr>
              <w:spacing w:after="0"/>
            </w:pPr>
            <w:r>
              <w:rPr>
                <w:sz w:val="17"/>
                <w:szCs w:val="17"/>
              </w:rPr>
              <w:t xml:space="preserve">21 CFR 11.300(b)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URS-30</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compte administrateur créé à l'amorçage d'une installation exige le renouvellement de son mot de passe à la première connexion. Quand une durée d'expiration est déclarée, son dépassement exige également le renouvellement, et aucune page ni route de téléchargement n'est accessible avant qu'il ait eu lieu.</w:t>
            </w:r>
          </w:p>
        </w:tc>
        <w:tc>
          <w:tcPr>
            <w:tcW w:type="pct" w:w="28%"/>
            <w:tcMar>
              <w:top w:type="dxa" w:w="80"/>
              <w:left w:type="dxa" w:w="110"/>
              <w:bottom w:type="dxa" w:w="80"/>
              <w:right w:type="dxa" w:w="110"/>
            </w:tcMar>
          </w:tcPr>
          <w:p>
            <w:pPr>
              <w:spacing w:after="0"/>
            </w:pPr>
            <w:r>
              <w:rPr>
                <w:sz w:val="17"/>
                <w:szCs w:val="17"/>
              </w:rPr>
              <w:t xml:space="preserve">Le mot de passe d'amorçage vient du fichier de composition : il n'est pas un secret, et une signature qui en dépendrait ne serait attribuable à personne. Un renouvellement contournable par une route d'export ne serait pas un renouvellement.</w:t>
            </w:r>
          </w:p>
        </w:tc>
        <w:tc>
          <w:tcPr>
            <w:tcW w:type="pct" w:w="20%"/>
            <w:tcMar>
              <w:top w:type="dxa" w:w="80"/>
              <w:left w:type="dxa" w:w="110"/>
              <w:bottom w:type="dxa" w:w="80"/>
              <w:right w:type="dxa" w:w="110"/>
            </w:tcMar>
          </w:tcPr>
          <w:p>
            <w:pPr>
              <w:spacing w:after="0"/>
            </w:pPr>
            <w:r>
              <w:rPr>
                <w:sz w:val="17"/>
                <w:szCs w:val="17"/>
              </w:rPr>
              <w:t xml:space="preserve">21 CFR 11.300(b) · 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Aucune fonction du logiciel ne permet à quiconque de poser le mot de passe d'un autre. Un administrateur émet un jeton à usage unique, valable une durée bornée, stocké haché ; son titulaire le consomme et choisit lui-même son mot de passe. Un jeton déjà consommé, expiré, révoqué ou émis pour un autre compte est refusé.</w:t>
            </w:r>
          </w:p>
        </w:tc>
        <w:tc>
          <w:tcPr>
            <w:tcW w:type="pct" w:w="28%"/>
            <w:tcMar>
              <w:top w:type="dxa" w:w="80"/>
              <w:left w:type="dxa" w:w="110"/>
              <w:bottom w:type="dxa" w:w="80"/>
              <w:right w:type="dxa" w:w="110"/>
            </w:tcMar>
          </w:tcPr>
          <w:p>
            <w:pPr>
              <w:spacing w:after="0"/>
            </w:pPr>
            <w:r>
              <w:rPr>
                <w:sz w:val="17"/>
                <w:szCs w:val="17"/>
              </w:rPr>
              <w:t xml:space="preserve">Une signature électronique non biométrique repose sur un identifiant public et un mot de passe. Qui saisit le mot de passe d'autrui détient les deux composants et peut signer à sa place sans collaborer avec personne — ce que la clause 11.200(a)(3) interdit précisément.</w:t>
            </w:r>
          </w:p>
        </w:tc>
        <w:tc>
          <w:tcPr>
            <w:tcW w:type="pct" w:w="20%"/>
            <w:tcMar>
              <w:top w:type="dxa" w:w="80"/>
              <w:left w:type="dxa" w:w="110"/>
              <w:bottom w:type="dxa" w:w="80"/>
              <w:right w:type="dxa" w:w="110"/>
            </w:tcMar>
          </w:tcPr>
          <w:p>
            <w:pPr>
              <w:spacing w:after="0"/>
            </w:pPr>
            <w:r>
              <w:rPr>
                <w:sz w:val="17"/>
                <w:szCs w:val="17"/>
              </w:rPr>
              <w:t xml:space="preserve">21 CFR 11.200(a)(3) · 21 CFR 11.300(a)</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L'image livrée démarre et amorce une installation utilisable : les migrations s'appliquent, l'organisation, le programme, le compte administrateur et la bibliothèque de normes sont créés, la chaîne de piste d'audit est intacte, la version annoncée est celle du logiciel, et aucune donnée n'est servie sans session.</w:t>
            </w:r>
          </w:p>
        </w:tc>
        <w:tc>
          <w:tcPr>
            <w:tcW w:type="pct" w:w="28%"/>
            <w:tcMar>
              <w:top w:type="dxa" w:w="80"/>
              <w:left w:type="dxa" w:w="110"/>
              <w:bottom w:type="dxa" w:w="80"/>
              <w:right w:type="dxa" w:w="110"/>
            </w:tcMar>
          </w:tcPr>
          <w:p>
            <w:pPr>
              <w:spacing w:after="0"/>
            </w:pPr>
            <w:r>
              <w:rPr>
                <w:sz w:val="17"/>
                <w:szCs w:val="17"/>
              </w:rPr>
              <w:t xml:space="preserve">C'est l'image qui est livrée, pas le code source. Tout ce que vérifient les autres cas s'exécute HORS du conteneur : ni le contrôle de types, ni la construction applicative, ni les cas de qualification ne voient ce que l'image contient réellement. Cet angle mort a produit une image qui ne pouvait pas démarrer du tout — le client de l'étape IQ-04 l'aurait découvert devant son infogérant — et un conteneur annonçant une version qui n'était pas la sienne.</w:t>
            </w:r>
          </w:p>
        </w:tc>
        <w:tc>
          <w:tcPr>
            <w:tcW w:type="pct" w:w="20%"/>
            <w:tcMar>
              <w:top w:type="dxa" w:w="80"/>
              <w:left w:type="dxa" w:w="110"/>
              <w:bottom w:type="dxa" w:w="80"/>
              <w:right w:type="dxa" w:w="110"/>
            </w:tcMar>
          </w:tcPr>
          <w:p>
            <w:pPr>
              <w:spacing w:after="0"/>
            </w:pPr>
            <w:r>
              <w:rPr>
                <w:sz w:val="17"/>
                <w:szCs w:val="17"/>
              </w:rPr>
              <w:t xml:space="preserve">21 CFR 11.10(a) · 21 CFR 11.10(d)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URS-33</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piste d'audit se lit dans la langue du lecteur. Chaque entrée écrite par l'application porte la clé de son message et ses arguments ; le texte est rendu à la lecture, à l'écran, dans l'export CSV et dans l'archive d'inspection. Les valeurs d'énumération suivent la langue, les données saisies restent intactes, la clé et les arguments entrent dans l'empreinte de l'entrée, et les entrées antérieures restent lisibles avec leurs empreintes vérifiables.</w:t>
            </w:r>
          </w:p>
        </w:tc>
        <w:tc>
          <w:tcPr>
            <w:tcW w:type="pct" w:w="28%"/>
            <w:tcMar>
              <w:top w:type="dxa" w:w="80"/>
              <w:left w:type="dxa" w:w="110"/>
              <w:bottom w:type="dxa" w:w="80"/>
              <w:right w:type="dxa" w:w="110"/>
            </w:tcMar>
          </w:tcPr>
          <w:p>
            <w:pPr>
              <w:spacing w:after="0"/>
            </w:pPr>
            <w:r>
              <w:rPr>
                <w:sz w:val="17"/>
                <w:szCs w:val="17"/>
              </w:rPr>
              <w:t xml:space="preserve">La piste d'audit est l'enregistrement qu'un auditeur lit en premier. Une équipe anglophone la consultait en français : elle ne pouvait ni la relire, ni la produire à son inspecteur, ni la revoir périodiquement comme le projet d'Annexe 11 l'attend. Le risque n'est pas la perte de donnée mais l'illisibilité d'un enregistrement réglementaire — et, si la traduction se faisait hors empreinte, la possibilité d'une version anglaise falsifiée que la chaîne déclarerait intacte.</w:t>
            </w:r>
          </w:p>
        </w:tc>
        <w:tc>
          <w:tcPr>
            <w:tcW w:type="pct" w:w="20%"/>
            <w:tcMar>
              <w:top w:type="dxa" w:w="80"/>
              <w:left w:type="dxa" w:w="110"/>
              <w:bottom w:type="dxa" w:w="80"/>
              <w:right w:type="dxa" w:w="110"/>
            </w:tcMar>
          </w:tcPr>
          <w:p>
            <w:pPr>
              <w:spacing w:after="0"/>
            </w:pPr>
            <w:r>
              <w:rPr>
                <w:sz w:val="17"/>
                <w:szCs w:val="17"/>
              </w:rPr>
              <w:t xml:space="preserve">21 CFR 11.10(b)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URS-34</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Chaque enregistrement figé emporte dans l'archive d'inspection une copie d'archivage au format PDF/A-2b : police embarquée, profil colorimétrique embarqué, métadonnées déclarant la partie et le niveau de conformité, identifiant de fichier, aucun chiffrement ni script. La copie porte les empreintes du contenu et du fichier, énonce qu'elle n'est pas l'enregistrement, et son texte se retraduit en caractères par sa propre table de correspondance.</w:t>
            </w:r>
          </w:p>
        </w:tc>
        <w:tc>
          <w:tcPr>
            <w:tcW w:type="pct" w:w="28%"/>
            <w:tcMar>
              <w:top w:type="dxa" w:w="80"/>
              <w:left w:type="dxa" w:w="110"/>
              <w:bottom w:type="dxa" w:w="80"/>
              <w:right w:type="dxa" w:w="110"/>
            </w:tcMar>
          </w:tcPr>
          <w:p>
            <w:pPr>
              <w:spacing w:after="0"/>
            </w:pPr>
            <w:r>
              <w:rPr>
                <w:sz w:val="17"/>
                <w:szCs w:val="17"/>
              </w:rPr>
              <w:t xml:space="preserve">L'enregistrement qui fait foi est un .docx, et sa lisibilité dans dix ans dépend d'un logiciel bureautique dont rien ne garantit l'existence. Le risque n'est pas la perte de la donnée — les octets sont conservés et leur empreinte est signée — mais l'impossibilité de la LIRE au moment d'une inspection. Une copie qui prétendrait être l'enregistrement serait pire que pas de copie : la signature porte sur l'empreinte du contenu gelé, et confondre les deux romprait la chaîne de preuve.</w:t>
            </w:r>
          </w:p>
        </w:tc>
        <w:tc>
          <w:tcPr>
            <w:tcW w:type="pct" w:w="20%"/>
            <w:tcMar>
              <w:top w:type="dxa" w:w="80"/>
              <w:left w:type="dxa" w:w="110"/>
              <w:bottom w:type="dxa" w:w="80"/>
              <w:right w:type="dxa" w:w="110"/>
            </w:tcMar>
          </w:tcPr>
          <w:p>
            <w:pPr>
              <w:spacing w:after="0"/>
            </w:pPr>
            <w:r>
              <w:rPr>
                <w:sz w:val="17"/>
                <w:szCs w:val="17"/>
              </w:rPr>
              <w:t xml:space="preserve">21 CFR 11.10(b) · 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URS-35</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Les revues périodiques de la piste d'audit couvrent des plages de RANGS contiguës : une revue commence exactement au rang qui suit la dernière revue close, sa fenêtre est figée à l'ouverture, et le logiciel refuse d'ouvrir une seconde revue tant qu'une autre est en cours. Toute lacune de couverture est calculée et signalée.</w:t>
            </w:r>
          </w:p>
        </w:tc>
        <w:tc>
          <w:tcPr>
            <w:tcW w:type="pct" w:w="28%"/>
            <w:tcMar>
              <w:top w:type="dxa" w:w="80"/>
              <w:left w:type="dxa" w:w="110"/>
              <w:bottom w:type="dxa" w:w="80"/>
              <w:right w:type="dxa" w:w="110"/>
            </w:tcMar>
          </w:tcPr>
          <w:p>
            <w:pPr>
              <w:spacing w:after="0"/>
            </w:pPr>
            <w:r>
              <w:rPr>
                <w:sz w:val="17"/>
                <w:szCs w:val="17"/>
              </w:rPr>
              <w:t xml:space="preserve">Une revue bornée par des dates laisse échapper ce qui s'écrit pendant qu'on la clôture : la revue suivante repartant du lendemain, ces entrées ne seront lues par personne, et rien ne le signalera. C'est le défaut qui vide la revue de sa valeur tout en produisant un enregistrement signé — donc la fausse assurance la plus coûteuse. Deux revues concurrentes produiraient le même effet à l'autre bout.</w:t>
            </w:r>
          </w:p>
        </w:tc>
        <w:tc>
          <w:tcPr>
            <w:tcW w:type="pct" w:w="20%"/>
            <w:tcMar>
              <w:top w:type="dxa" w:w="80"/>
              <w:left w:type="dxa" w:w="110"/>
              <w:bottom w:type="dxa" w:w="80"/>
              <w:right w:type="dxa" w:w="110"/>
            </w:tcMar>
          </w:tcPr>
          <w:p>
            <w:pPr>
              <w:spacing w:after="0"/>
            </w:pPr>
            <w:r>
              <w:rPr>
                <w:sz w:val="17"/>
                <w:szCs w:val="17"/>
              </w:rPr>
              <w:t xml:space="preserve">21 CFR 11.10(e) · Annexe 11 (projet) — Piste d'audit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URS-36</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clôture d'une revue est une signature électronique : elle exige la ressaisie du mot de passe, porte le nom imprimé, la signification « Revu » et l'horodatage, et recopie l'empreinte du CONTENU revu — fenêtre, comptes, règles appliquées, verdicts et conclusion. Elle est refusée tant qu'une entrée retenue n'est pas statuée, tant que la conclusion est vide, et une revue close ne se rouvre pas.</w:t>
            </w:r>
          </w:p>
        </w:tc>
        <w:tc>
          <w:tcPr>
            <w:tcW w:type="pct" w:w="28%"/>
            <w:tcMar>
              <w:top w:type="dxa" w:w="80"/>
              <w:left w:type="dxa" w:w="110"/>
              <w:bottom w:type="dxa" w:w="80"/>
              <w:right w:type="dxa" w:w="110"/>
            </w:tcMar>
          </w:tcPr>
          <w:p>
            <w:pPr>
              <w:spacing w:after="0"/>
            </w:pPr>
            <w:r>
              <w:rPr>
                <w:sz w:val="17"/>
                <w:szCs w:val="17"/>
              </w:rPr>
              <w:t xml:space="preserve">Une revue signée sans empreinte du contenu revu atteste d'une date, pas d'un travail : « revu le 6 août » ne dit pas QUOI a été revu, et le contenu pourrait changer ensuite sans que la signature en souffre. Une clôture possible sur des lignes non statuées permettrait de signer un travail non fait — l'inverse exact de ce que la revue prouve.</w:t>
            </w:r>
          </w:p>
        </w:tc>
        <w:tc>
          <w:tcPr>
            <w:tcW w:type="pct" w:w="20%"/>
            <w:tcMar>
              <w:top w:type="dxa" w:w="80"/>
              <w:left w:type="dxa" w:w="110"/>
              <w:bottom w:type="dxa" w:w="80"/>
              <w:right w:type="dxa" w:w="110"/>
            </w:tcMar>
          </w:tcPr>
          <w:p>
            <w:pPr>
              <w:spacing w:after="0"/>
            </w:pPr>
            <w:r>
              <w:rPr>
                <w:sz w:val="17"/>
                <w:szCs w:val="17"/>
              </w:rPr>
              <w:t xml:space="preserve">21 CFR 11.50 · 21 CFR 11.70 · 21 CFR 11.200(a)(1) · Annexe 11 (projet) — Piste d'audit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URS-37</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Les contrôles de qualité d'énoncé sont DÉTERMINISTES et sans effet de bord : ils s'exécutent sans clé d'API et sans accès réseau, rendent le même résultat pour le même énoncé, citent le fragment fautif tel qu'il a été écrit, n'écrivent jamais dans l'enregistrement et n'empêchent jamais de l'enregistrer.</w:t>
            </w:r>
          </w:p>
        </w:tc>
        <w:tc>
          <w:tcPr>
            <w:tcW w:type="pct" w:w="28%"/>
            <w:tcMar>
              <w:top w:type="dxa" w:w="80"/>
              <w:left w:type="dxa" w:w="110"/>
              <w:bottom w:type="dxa" w:w="80"/>
              <w:right w:type="dxa" w:w="110"/>
            </w:tcMar>
          </w:tcPr>
          <w:p>
            <w:pPr>
              <w:spacing w:after="0"/>
            </w:pPr>
            <w:r>
              <w:rPr>
                <w:sz w:val="17"/>
                <w:szCs w:val="17"/>
              </w:rPr>
              <w:t xml:space="preserve">Un contrôle qui réécrirait l'énoncé changerait l'auteur d'un enregistrement sans que personne l'ait décidé — l'attribution ALCOA+ tomberait. Un contrôle qui bloquerait l'enregistrement serait contourné en retirant le mot déclencheur, et deviendrait une décoration qui donne l'illusion d'une maîtrise. Un contrôle dépendant d'un modèle de langue ne rendrait pas deux fois le même verdict et ne pourrait pas être qualifié.</w:t>
            </w:r>
          </w:p>
        </w:tc>
        <w:tc>
          <w:tcPr>
            <w:tcW w:type="pct" w:w="20%"/>
            <w:tcMar>
              <w:top w:type="dxa" w:w="80"/>
              <w:left w:type="dxa" w:w="110"/>
              <w:bottom w:type="dxa" w:w="80"/>
              <w:right w:type="dxa" w:w="110"/>
            </w:tcMar>
          </w:tcPr>
          <w:p>
            <w:pPr>
              <w:spacing w:after="0"/>
            </w:pPr>
            <w:r>
              <w:rPr>
                <w:sz w:val="17"/>
                <w:szCs w:val="17"/>
              </w:rPr>
              <w:t xml:space="preserve">ISO 13485 §7.3.3 · IEC 62366-1 §5.1 · 21 CFR 820.30(c)</w:t>
            </w:r>
          </w:p>
        </w:tc>
      </w:tr>
    </w:tbl>
    <w:p>
      <w:pPr>
        <w:pStyle w:val="Heading2"/>
        <w:spacing w:after="140" w:before="320"/>
      </w:pPr>
      <w:r>
        <w:t xml:space="preserve">4. Analyse de risque logiciel</w:t>
      </w:r>
    </w:p>
    <w:p>
      <w:pPr>
        <w:spacing w:after="140"/>
      </w:pPr>
      <w:r>
        <w:rPr>
          <w:sz w:val="20"/>
          <w:szCs w:val="20"/>
        </w:rPr>
        <w:t xml:space="preserve">Répartition : 24 exigences à risque haut, 11 à risque moyen, 2 à risque bas. Les exigences à risque haut touchent toutes à l'intégrité ou à l'attribution des enregistrements : leur défaillance ne dégrade pas le confort d'usage, elle rend un enregistrement indéfendable. Elles font l'objet de cas de test dédiés, exécutés à chaque version.</w:t>
      </w:r>
    </w:p>
    <w:p>
      <w:pPr>
        <w:spacing w:after="160"/>
      </w:pPr>
      <w:r>
        <w:rPr>
          <w:sz w:val="20"/>
          <w:szCs w:val="20"/>
        </w:rPr>
        <w:t xml:space="preserve">Aucune exigence de ce dossier ne porte sur une fonction de décision clinique : Filum n'interprète pas de résultat patient et ne pilote aucun dispositif. Le moteur de performance analytique calcule des grandeurs statistiques dont la CONCLUSION reste prononcée par un humain, qui la signe.</w:t>
      </w:r>
    </w:p>
    <w:p>
      <w:pPr>
        <w:pStyle w:val="Heading1"/>
        <w:spacing w:after="140" w:before="320"/>
      </w:pPr>
      <w:r>
        <w:t xml:space="preserve">5. Rapport de qualification opérationnelle (OQ)</w:t>
      </w:r>
    </w:p>
    <w:p>
      <w:pPr>
        <w:spacing w:after="140"/>
      </w:pPr>
      <w:r>
        <w:rPr>
          <w:sz w:val="20"/>
          <w:szCs w:val="20"/>
        </w:rPr>
        <w:t xml:space="preserve">Les cas ci-dessous ont été exécutés par l'éditeur contre le code livré, sur une base de données créée pour l'occasion puis détruite. Ils appellent les mêmes fonctions que l'application — pas des copies écrites pour la circonstance.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Exécution</w:t>
            </w:r>
          </w:p>
        </w:tc>
        <w:tc>
          <w:tcPr>
            <w:tcW w:type="pct" w:w="74%"/>
            <w:shd w:fill="E0E7FF"/>
            <w:tcMar>
              <w:top w:type="dxa" w:w="80"/>
              <w:left w:type="dxa" w:w="110"/>
              <w:bottom w:type="dxa" w:w="80"/>
              <w:right w:type="dxa" w:w="110"/>
            </w:tcMar>
          </w:tcPr>
          <w:p>
            <w:pPr>
              <w:spacing w:after="0"/>
            </w:pPr>
            <w:r>
              <w:rPr>
                <w:b/>
                <w:bCs/>
                <w:sz w:val="17"/>
                <w:szCs w:val="17"/>
              </w:rPr>
              <w:t xml:space="preserve">Contexte</w:t>
            </w:r>
          </w:p>
        </w:tc>
      </w:tr>
      <w:tr>
        <w:tc>
          <w:tcPr>
            <w:tcW w:type="pct" w:w="26%"/>
            <w:tcMar>
              <w:top w:type="dxa" w:w="80"/>
              <w:left w:type="dxa" w:w="110"/>
              <w:bottom w:type="dxa" w:w="80"/>
              <w:right w:type="dxa" w:w="110"/>
            </w:tcMar>
          </w:tcPr>
          <w:p>
            <w:pPr>
              <w:spacing w:after="0"/>
            </w:pPr>
            <w:r>
              <w:rPr>
                <w:b/>
                <w:bCs/>
                <w:sz w:val="17"/>
                <w:szCs w:val="17"/>
              </w:rPr>
              <w:t xml:space="preserve">Date et heure (UTC)</w:t>
            </w:r>
          </w:p>
        </w:tc>
        <w:tc>
          <w:tcPr>
            <w:tcW w:type="pct" w:w="74%"/>
            <w:tcMar>
              <w:top w:type="dxa" w:w="80"/>
              <w:left w:type="dxa" w:w="110"/>
              <w:bottom w:type="dxa" w:w="80"/>
              <w:right w:type="dxa" w:w="110"/>
            </w:tcMar>
          </w:tcPr>
          <w:p>
            <w:pPr>
              <w:spacing w:after="0"/>
            </w:pPr>
            <w:r>
              <w:rPr>
                <w:sz w:val="17"/>
                <w:szCs w:val="17"/>
              </w:rPr>
              <w:t xml:space="preserve">6 août 2026 à 19:52</w:t>
            </w:r>
          </w:p>
        </w:tc>
      </w:tr>
      <w:tr>
        <w:tc>
          <w:tcPr>
            <w:tcW w:type="pct" w:w="26%"/>
            <w:tcMar>
              <w:top w:type="dxa" w:w="80"/>
              <w:left w:type="dxa" w:w="110"/>
              <w:bottom w:type="dxa" w:w="80"/>
              <w:right w:type="dxa" w:w="110"/>
            </w:tcMar>
          </w:tcPr>
          <w:p>
            <w:pPr>
              <w:spacing w:after="0"/>
            </w:pPr>
            <w:r>
              <w:rPr>
                <w:b/>
                <w:bCs/>
                <w:sz w:val="17"/>
                <w:szCs w:val="17"/>
              </w:rPr>
              <w:t xml:space="preserve">Version du logiciel</w:t>
            </w:r>
          </w:p>
        </w:tc>
        <w:tc>
          <w:tcPr>
            <w:tcW w:type="pct" w:w="74%"/>
            <w:tcMar>
              <w:top w:type="dxa" w:w="80"/>
              <w:left w:type="dxa" w:w="110"/>
              <w:bottom w:type="dxa" w:w="80"/>
              <w:right w:type="dxa" w:w="110"/>
            </w:tcMar>
          </w:tcPr>
          <w:p>
            <w:pPr>
              <w:spacing w:after="0"/>
            </w:pPr>
            <w:r>
              <w:rPr>
                <w:sz w:val="17"/>
                <w:szCs w:val="17"/>
              </w:rPr>
              <w:t xml:space="preserve">1.2.1</w:t>
            </w:r>
          </w:p>
        </w:tc>
      </w:tr>
      <w:tr>
        <w:tc>
          <w:tcPr>
            <w:tcW w:type="pct" w:w="26%"/>
            <w:tcMar>
              <w:top w:type="dxa" w:w="80"/>
              <w:left w:type="dxa" w:w="110"/>
              <w:bottom w:type="dxa" w:w="80"/>
              <w:right w:type="dxa" w:w="110"/>
            </w:tcMar>
          </w:tcPr>
          <w:p>
            <w:pPr>
              <w:spacing w:after="0"/>
            </w:pPr>
            <w:r>
              <w:rPr>
                <w:b/>
                <w:bCs/>
                <w:sz w:val="17"/>
                <w:szCs w:val="17"/>
              </w:rPr>
              <w:t xml:space="preserve">Plateforme</w:t>
            </w:r>
          </w:p>
        </w:tc>
        <w:tc>
          <w:tcPr>
            <w:tcW w:type="pct" w:w="74%"/>
            <w:tcMar>
              <w:top w:type="dxa" w:w="80"/>
              <w:left w:type="dxa" w:w="110"/>
              <w:bottom w:type="dxa" w:w="80"/>
              <w:right w:type="dxa" w:w="110"/>
            </w:tcMar>
          </w:tcPr>
          <w:p>
            <w:pPr>
              <w:spacing w:after="0"/>
            </w:pPr>
            <w:r>
              <w:rPr>
                <w:sz w:val="17"/>
                <w:szCs w:val="17"/>
              </w:rPr>
              <w:t xml:space="preserve">Windows_NT 10.0.26200 (x64)</w:t>
            </w:r>
          </w:p>
        </w:tc>
      </w:tr>
      <w:tr>
        <w:tc>
          <w:tcPr>
            <w:tcW w:type="pct" w:w="26%"/>
            <w:tcMar>
              <w:top w:type="dxa" w:w="80"/>
              <w:left w:type="dxa" w:w="110"/>
              <w:bottom w:type="dxa" w:w="80"/>
              <w:right w:type="dxa" w:w="110"/>
            </w:tcMar>
          </w:tcPr>
          <w:p>
            <w:pPr>
              <w:spacing w:after="0"/>
            </w:pPr>
            <w:r>
              <w:rPr>
                <w:b/>
                <w:bCs/>
                <w:sz w:val="17"/>
                <w:szCs w:val="17"/>
              </w:rPr>
              <w:t xml:space="preserve">Environnement d'exécution</w:t>
            </w:r>
          </w:p>
        </w:tc>
        <w:tc>
          <w:tcPr>
            <w:tcW w:type="pct" w:w="74%"/>
            <w:tcMar>
              <w:top w:type="dxa" w:w="80"/>
              <w:left w:type="dxa" w:w="110"/>
              <w:bottom w:type="dxa" w:w="80"/>
              <w:right w:type="dxa" w:w="110"/>
            </w:tcMar>
          </w:tcPr>
          <w:p>
            <w:pPr>
              <w:spacing w:after="0"/>
            </w:pPr>
            <w:r>
              <w:rPr>
                <w:sz w:val="17"/>
                <w:szCs w:val="17"/>
              </w:rPr>
              <w:t xml:space="preserve">Node.js v24.18.0</w:t>
            </w:r>
          </w:p>
        </w:tc>
      </w:tr>
      <w:tr>
        <w:tc>
          <w:tcPr>
            <w:tcW w:type="pct" w:w="26%"/>
            <w:tcMar>
              <w:top w:type="dxa" w:w="80"/>
              <w:left w:type="dxa" w:w="110"/>
              <w:bottom w:type="dxa" w:w="80"/>
              <w:right w:type="dxa" w:w="110"/>
            </w:tcMar>
          </w:tcPr>
          <w:p>
            <w:pPr>
              <w:spacing w:after="0"/>
            </w:pPr>
            <w:r>
              <w:rPr>
                <w:b/>
                <w:bCs/>
                <w:sz w:val="17"/>
                <w:szCs w:val="17"/>
              </w:rPr>
              <w:t xml:space="preserve">Résultat</w:t>
            </w:r>
          </w:p>
        </w:tc>
        <w:tc>
          <w:tcPr>
            <w:tcW w:type="pct" w:w="74%"/>
            <w:tcMar>
              <w:top w:type="dxa" w:w="80"/>
              <w:left w:type="dxa" w:w="110"/>
              <w:bottom w:type="dxa" w:w="80"/>
              <w:right w:type="dxa" w:w="110"/>
            </w:tcMar>
          </w:tcPr>
          <w:p>
            <w:pPr>
              <w:spacing w:after="0"/>
            </w:pPr>
            <w:r>
              <w:rPr>
                <w:b/>
                <w:bCs/>
                <w:color w:val="047857"/>
                <w:sz w:val="17"/>
                <w:szCs w:val="17"/>
              </w:rPr>
              <w:t xml:space="preserve">34 cas sur 34 conformes — aucun écart</w:t>
            </w:r>
          </w:p>
        </w:tc>
      </w:tr>
    </w:tbl>
    <w:p>
      <w:pPr>
        <w:pStyle w:val="Heading2"/>
        <w:spacing w:after="140" w:before="320"/>
      </w:pPr>
      <w:r>
        <w:t xml:space="preserve">5.1 Détail des cas exécutés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3%"/>
            <w:shd w:fill="E0E7FF"/>
            <w:tcMar>
              <w:top w:type="dxa" w:w="80"/>
              <w:left w:type="dxa" w:w="110"/>
              <w:bottom w:type="dxa" w:w="80"/>
              <w:right w:type="dxa" w:w="110"/>
            </w:tcMar>
          </w:tcPr>
          <w:p>
            <w:pPr>
              <w:spacing w:after="0"/>
            </w:pPr>
            <w:r>
              <w:rPr>
                <w:b/>
                <w:bCs/>
                <w:sz w:val="17"/>
                <w:szCs w:val="17"/>
              </w:rPr>
              <w:t xml:space="preserve">Cas / exigence</w:t>
            </w:r>
          </w:p>
        </w:tc>
        <w:tc>
          <w:tcPr>
            <w:tcW w:type="pct" w:w="30%"/>
            <w:shd w:fill="E0E7FF"/>
            <w:tcMar>
              <w:top w:type="dxa" w:w="80"/>
              <w:left w:type="dxa" w:w="110"/>
              <w:bottom w:type="dxa" w:w="80"/>
              <w:right w:type="dxa" w:w="110"/>
            </w:tcMar>
          </w:tcPr>
          <w:p>
            <w:pPr>
              <w:spacing w:after="0"/>
            </w:pPr>
            <w:r>
              <w:rPr>
                <w:b/>
                <w:bCs/>
                <w:sz w:val="17"/>
                <w:szCs w:val="17"/>
              </w:rPr>
              <w:t xml:space="preserve">Objet du contrôle</w:t>
            </w:r>
          </w:p>
        </w:tc>
        <w:tc>
          <w:tcPr>
            <w:tcW w:type="pct" w:w="45%"/>
            <w:shd w:fill="E0E7FF"/>
            <w:tcMar>
              <w:top w:type="dxa" w:w="80"/>
              <w:left w:type="dxa" w:w="110"/>
              <w:bottom w:type="dxa" w:w="80"/>
              <w:right w:type="dxa" w:w="110"/>
            </w:tcMar>
          </w:tcPr>
          <w:p>
            <w:pPr>
              <w:spacing w:after="0"/>
            </w:pPr>
            <w:r>
              <w:rPr>
                <w:b/>
                <w:bCs/>
                <w:sz w:val="17"/>
                <w:szCs w:val="17"/>
              </w:rPr>
              <w:t xml:space="preserve">Preuve observée</w:t>
            </w:r>
          </w:p>
        </w:tc>
        <w:tc>
          <w:tcPr>
            <w:tcW w:type="pct" w:w="12%"/>
            <w:shd w:fill="E0E7FF"/>
            <w:tcMar>
              <w:top w:type="dxa" w:w="80"/>
              <w:left w:type="dxa" w:w="110"/>
              <w:bottom w:type="dxa" w:w="80"/>
              <w:right w:type="dxa" w:w="110"/>
            </w:tcMar>
          </w:tcPr>
          <w:p>
            <w:pPr>
              <w:spacing w:after="0"/>
            </w:pPr>
            <w:r>
              <w:rPr>
                <w:b/>
                <w:bCs/>
                <w:sz w:val="17"/>
                <w:szCs w:val="17"/>
              </w:rPr>
              <w:t xml:space="preserve">Verdict</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OQ-01</w:t>
            </w:r>
          </w:p>
          <w:p>
            <w:pPr>
              <w:spacing w:after="0"/>
            </w:pPr>
            <w:r>
              <w:rPr>
                <w:color w:val="475569"/>
                <w:sz w:val="15"/>
                <w:szCs w:val="15"/>
              </w:rPr>
              <w:t xml:space="preserve">URS-02</w:t>
            </w:r>
          </w:p>
        </w:tc>
        <w:tc>
          <w:tcPr>
            <w:tcW w:type="pct" w:w="30%"/>
            <w:tcMar>
              <w:top w:type="dxa" w:w="80"/>
              <w:left w:type="dxa" w:w="110"/>
              <w:bottom w:type="dxa" w:w="80"/>
              <w:right w:type="dxa" w:w="110"/>
            </w:tcMar>
          </w:tcPr>
          <w:p>
            <w:pPr>
              <w:spacing w:after="50"/>
            </w:pPr>
            <w:r>
              <w:rPr>
                <w:b/>
                <w:bCs/>
                <w:sz w:val="17"/>
                <w:szCs w:val="17"/>
              </w:rPr>
              <w:t xml:space="preserve">Table de vérité complète des contrôles d'autorité</w:t>
            </w:r>
          </w:p>
          <w:p>
            <w:pPr>
              <w:spacing w:after="0"/>
            </w:pPr>
            <w:r>
              <w:rPr>
                <w:color w:val="475569"/>
                <w:sz w:val="15"/>
                <w:szCs w:val="15"/>
              </w:rPr>
              <w:t xml:space="preserve">Vérifier que la hiérarchie des rôles autorise exactement ce qu'elle doit, pour les quatre rôles et les trois seuils.</w:t>
            </w:r>
          </w:p>
        </w:tc>
        <w:tc>
          <w:tcPr>
            <w:tcW w:type="pct" w:w="45%"/>
            <w:tcMar>
              <w:top w:type="dxa" w:w="80"/>
              <w:left w:type="dxa" w:w="110"/>
              <w:bottom w:type="dxa" w:w="80"/>
              <w:right w:type="dxa" w:w="110"/>
            </w:tcMar>
          </w:tcPr>
          <w:p>
            <w:pPr>
              <w:spacing w:after="0"/>
            </w:pPr>
            <w:r>
              <w:rPr>
                <w:sz w:val="17"/>
                <w:szCs w:val="17"/>
              </w:rPr>
              <w:t xml:space="preserve">12 combinaisons rôle × seuil conformes : Viewer/Editor=non, Viewer/Approver=non, Viewer/Admin=non, Editor/Editor=oui, Editor/Approver=non, Editor/Admin=non, Approver/Editor=oui, Approver/Approver=oui, Approver/Admin=non, Admin/Editor=oui, Admin/Approver=oui, Admin/Admin=oui</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OQ-02</w:t>
            </w:r>
          </w:p>
          <w:p>
            <w:pPr>
              <w:spacing w:after="0"/>
            </w:pPr>
            <w:r>
              <w:rPr>
                <w:color w:val="475569"/>
                <w:sz w:val="15"/>
                <w:szCs w:val="15"/>
              </w:rPr>
              <w:t xml:space="preserve">URS-06</w:t>
            </w:r>
          </w:p>
        </w:tc>
        <w:tc>
          <w:tcPr>
            <w:tcW w:type="pct" w:w="30%"/>
            <w:tcMar>
              <w:top w:type="dxa" w:w="80"/>
              <w:left w:type="dxa" w:w="110"/>
              <w:bottom w:type="dxa" w:w="80"/>
              <w:right w:type="dxa" w:w="110"/>
            </w:tcMar>
          </w:tcPr>
          <w:p>
            <w:pPr>
              <w:spacing w:after="50"/>
            </w:pPr>
            <w:r>
              <w:rPr>
                <w:b/>
                <w:bCs/>
                <w:sz w:val="17"/>
                <w:szCs w:val="17"/>
              </w:rPr>
              <w:t xml:space="preserve">Dérivation et vérification du mot de passe</w:t>
            </w:r>
          </w:p>
          <w:p>
            <w:pPr>
              <w:spacing w:after="0"/>
            </w:pPr>
            <w:r>
              <w:rPr>
                <w:color w:val="475569"/>
                <w:sz w:val="15"/>
                <w:szCs w:val="15"/>
              </w:rPr>
              <w:t xml:space="preserve">Vérifier qu'un mot de passe n'est jamais conservé en clair, que le sel est unique par empreinte et que la vérification distingue le bon du mauvais.</w:t>
            </w:r>
          </w:p>
        </w:tc>
        <w:tc>
          <w:tcPr>
            <w:tcW w:type="pct" w:w="45%"/>
            <w:tcMar>
              <w:top w:type="dxa" w:w="80"/>
              <w:left w:type="dxa" w:w="110"/>
              <w:bottom w:type="dxa" w:w="80"/>
              <w:right w:type="dxa" w:w="110"/>
            </w:tcMar>
          </w:tcPr>
          <w:p>
            <w:pPr>
              <w:spacing w:after="0"/>
            </w:pPr>
            <w:r>
              <w:rPr>
                <w:sz w:val="17"/>
                <w:szCs w:val="17"/>
              </w:rPr>
              <w:t xml:space="preserve">empreintes distinctes pour un même mot de passe (770008180c66… ≠ d0bfb8df4d32…), vérification correcte, mot de passe faux et vide refusés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144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OQ-03</w:t>
            </w:r>
          </w:p>
          <w:p>
            <w:pPr>
              <w:spacing w:after="0"/>
            </w:pPr>
            <w:r>
              <w:rPr>
                <w:color w:val="475569"/>
                <w:sz w:val="15"/>
                <w:szCs w:val="15"/>
              </w:rPr>
              <w:t xml:space="preserve">URS-07</w:t>
            </w:r>
          </w:p>
        </w:tc>
        <w:tc>
          <w:tcPr>
            <w:tcW w:type="pct" w:w="30%"/>
            <w:tcMar>
              <w:top w:type="dxa" w:w="80"/>
              <w:left w:type="dxa" w:w="110"/>
              <w:bottom w:type="dxa" w:w="80"/>
              <w:right w:type="dxa" w:w="110"/>
            </w:tcMar>
          </w:tcPr>
          <w:p>
            <w:pPr>
              <w:spacing w:after="50"/>
            </w:pPr>
            <w:r>
              <w:rPr>
                <w:b/>
                <w:bCs/>
                <w:sz w:val="17"/>
                <w:szCs w:val="17"/>
              </w:rPr>
              <w:t xml:space="preserve">Contenu de la manifestation de signature</w:t>
            </w:r>
          </w:p>
          <w:p>
            <w:pPr>
              <w:spacing w:after="0"/>
            </w:pPr>
            <w:r>
              <w:rPr>
                <w:color w:val="475569"/>
                <w:sz w:val="15"/>
                <w:szCs w:val="15"/>
              </w:rPr>
              <w:t xml:space="preserve">Vérifier que la chaîne conservée avec la signature porte le nom imprimé, la signification et l'horodatage UTC.</w:t>
            </w:r>
          </w:p>
        </w:tc>
        <w:tc>
          <w:tcPr>
            <w:tcW w:type="pct" w:w="45%"/>
            <w:tcMar>
              <w:top w:type="dxa" w:w="80"/>
              <w:left w:type="dxa" w:w="110"/>
              <w:bottom w:type="dxa" w:w="80"/>
              <w:right w:type="dxa" w:w="110"/>
            </w:tcMar>
          </w:tcPr>
          <w:p>
            <w:pPr>
              <w:spacing w:after="0"/>
            </w:pPr>
            <w:r>
              <w:rPr>
                <w:sz w:val="17"/>
                <w:szCs w:val="17"/>
              </w:rPr>
              <w:t xml:space="preserve">manifestation « Alice Bréant (ABR) · Approuvé · 04/03/2026 08:09:10 UTC » ; signification inconnue rendue verbatim</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OQ-04</w:t>
            </w:r>
          </w:p>
          <w:p>
            <w:pPr>
              <w:spacing w:after="0"/>
            </w:pPr>
            <w:r>
              <w:rPr>
                <w:color w:val="475569"/>
                <w:sz w:val="15"/>
                <w:szCs w:val="15"/>
              </w:rPr>
              <w:t xml:space="preserve">URS-09</w:t>
            </w:r>
          </w:p>
        </w:tc>
        <w:tc>
          <w:tcPr>
            <w:tcW w:type="pct" w:w="30%"/>
            <w:tcMar>
              <w:top w:type="dxa" w:w="80"/>
              <w:left w:type="dxa" w:w="110"/>
              <w:bottom w:type="dxa" w:w="80"/>
              <w:right w:type="dxa" w:w="110"/>
            </w:tcMar>
          </w:tcPr>
          <w:p>
            <w:pPr>
              <w:spacing w:after="50"/>
            </w:pPr>
            <w:r>
              <w:rPr>
                <w:b/>
                <w:bCs/>
                <w:sz w:val="17"/>
                <w:szCs w:val="17"/>
              </w:rPr>
              <w:t xml:space="preserve">Gel du contenu à la mise en revue</w:t>
            </w:r>
          </w:p>
          <w:p>
            <w:pPr>
              <w:spacing w:after="0"/>
            </w:pPr>
            <w:r>
              <w:rPr>
                <w:color w:val="475569"/>
                <w:sz w:val="15"/>
                <w:szCs w:val="15"/>
              </w:rPr>
              <w:t xml:space="preserve">Vérifier que la mise en revue calcule l'empreinte du contenu, conserve le fichier produit et journalise l'opération.</w:t>
            </w:r>
          </w:p>
        </w:tc>
        <w:tc>
          <w:tcPr>
            <w:tcW w:type="pct" w:w="45%"/>
            <w:tcMar>
              <w:top w:type="dxa" w:w="80"/>
              <w:left w:type="dxa" w:w="110"/>
              <w:bottom w:type="dxa" w:w="80"/>
              <w:right w:type="dxa" w:w="110"/>
            </w:tcMar>
          </w:tcPr>
          <w:p>
            <w:pPr>
              <w:spacing w:after="0"/>
            </w:pPr>
            <w:r>
              <w:rPr>
                <w:sz w:val="17"/>
                <w:szCs w:val="17"/>
              </w:rPr>
              <w:t xml:space="preserve">contenu gelé, empreinte 24604eb157d7fa54…, 10487 octets conservés, opération journalisée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125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OQ-05</w:t>
            </w:r>
          </w:p>
          <w:p>
            <w:pPr>
              <w:spacing w:after="0"/>
            </w:pPr>
            <w:r>
              <w:rPr>
                <w:color w:val="475569"/>
                <w:sz w:val="15"/>
                <w:szCs w:val="15"/>
              </w:rPr>
              <w:t xml:space="preserve">URS-08</w:t>
            </w:r>
          </w:p>
        </w:tc>
        <w:tc>
          <w:tcPr>
            <w:tcW w:type="pct" w:w="30%"/>
            <w:tcMar>
              <w:top w:type="dxa" w:w="80"/>
              <w:left w:type="dxa" w:w="110"/>
              <w:bottom w:type="dxa" w:w="80"/>
              <w:right w:type="dxa" w:w="110"/>
            </w:tcMar>
          </w:tcPr>
          <w:p>
            <w:pPr>
              <w:spacing w:after="50"/>
            </w:pPr>
            <w:r>
              <w:rPr>
                <w:b/>
                <w:bCs/>
                <w:sz w:val="17"/>
                <w:szCs w:val="17"/>
              </w:rPr>
              <w:t xml:space="preserve">Liaison de la signature à l'enregistrement</w:t>
            </w:r>
          </w:p>
          <w:p>
            <w:pPr>
              <w:spacing w:after="0"/>
            </w:pPr>
            <w:r>
              <w:rPr>
                <w:color w:val="475569"/>
                <w:sz w:val="15"/>
                <w:szCs w:val="15"/>
              </w:rPr>
              <w:t xml:space="preserve">Vérifier que la signature recopie l'empreinte du contenu gelé et référence l'instantané correspondant.</w:t>
            </w:r>
          </w:p>
        </w:tc>
        <w:tc>
          <w:tcPr>
            <w:tcW w:type="pct" w:w="45%"/>
            <w:tcMar>
              <w:top w:type="dxa" w:w="80"/>
              <w:left w:type="dxa" w:w="110"/>
              <w:bottom w:type="dxa" w:w="80"/>
              <w:right w:type="dxa" w:w="110"/>
            </w:tcMar>
          </w:tcPr>
          <w:p>
            <w:pPr>
              <w:spacing w:after="0"/>
            </w:pPr>
            <w:r>
              <w:rPr>
                <w:sz w:val="17"/>
                <w:szCs w:val="17"/>
              </w:rPr>
              <w:t xml:space="preserve">signature liée à l'instantané cmshxn9r…, empreinte attestée 3767 CD80 ACC9, manifestation « Testeur QA1 (QA1) · Approuvé · 06/08/2026 19:52:33 UTC · enregistrement 3767 CD80 ACC9 »</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42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OQ-06</w:t>
            </w:r>
          </w:p>
          <w:p>
            <w:pPr>
              <w:spacing w:after="0"/>
            </w:pPr>
            <w:r>
              <w:rPr>
                <w:color w:val="475569"/>
                <w:sz w:val="15"/>
                <w:szCs w:val="15"/>
              </w:rPr>
              <w:t xml:space="preserve">URS-10</w:t>
            </w:r>
          </w:p>
        </w:tc>
        <w:tc>
          <w:tcPr>
            <w:tcW w:type="pct" w:w="30%"/>
            <w:tcMar>
              <w:top w:type="dxa" w:w="80"/>
              <w:left w:type="dxa" w:w="110"/>
              <w:bottom w:type="dxa" w:w="80"/>
              <w:right w:type="dxa" w:w="110"/>
            </w:tcMar>
          </w:tcPr>
          <w:p>
            <w:pPr>
              <w:spacing w:after="50"/>
            </w:pPr>
            <w:r>
              <w:rPr>
                <w:b/>
                <w:bCs/>
                <w:sz w:val="17"/>
                <w:szCs w:val="17"/>
              </w:rPr>
              <w:t xml:space="preserve">Copie exacte servie, et détection d'altération</w:t>
            </w:r>
          </w:p>
          <w:p>
            <w:pPr>
              <w:spacing w:after="0"/>
            </w:pPr>
            <w:r>
              <w:rPr>
                <w:color w:val="475569"/>
                <w:sz w:val="15"/>
                <w:szCs w:val="15"/>
              </w:rPr>
              <w:t xml:space="preserve">Vérifier que les octets relus sont ceux conservés, et qu'une altération sur disque est détectée au lieu d'être servie.</w:t>
            </w:r>
          </w:p>
        </w:tc>
        <w:tc>
          <w:tcPr>
            <w:tcW w:type="pct" w:w="45%"/>
            <w:tcMar>
              <w:top w:type="dxa" w:w="80"/>
              <w:left w:type="dxa" w:w="110"/>
              <w:bottom w:type="dxa" w:w="80"/>
              <w:right w:type="dxa" w:w="110"/>
            </w:tcMar>
          </w:tcPr>
          <w:p>
            <w:pPr>
              <w:spacing w:after="0"/>
            </w:pPr>
            <w:r>
              <w:rPr>
                <w:sz w:val="17"/>
                <w:szCs w:val="17"/>
              </w:rPr>
              <w:t xml:space="preserve">10488 octets relus à l'identique ; inversion d'un octet en position 5244 détectée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58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OQ-07</w:t>
            </w:r>
          </w:p>
          <w:p>
            <w:pPr>
              <w:spacing w:after="0"/>
            </w:pPr>
            <w:r>
              <w:rPr>
                <w:color w:val="475569"/>
                <w:sz w:val="15"/>
                <w:szCs w:val="15"/>
              </w:rPr>
              <w:t xml:space="preserve">URS-11</w:t>
            </w:r>
          </w:p>
        </w:tc>
        <w:tc>
          <w:tcPr>
            <w:tcW w:type="pct" w:w="30%"/>
            <w:tcMar>
              <w:top w:type="dxa" w:w="80"/>
              <w:left w:type="dxa" w:w="110"/>
              <w:bottom w:type="dxa" w:w="80"/>
              <w:right w:type="dxa" w:w="110"/>
            </w:tcMar>
          </w:tcPr>
          <w:p>
            <w:pPr>
              <w:spacing w:after="50"/>
            </w:pPr>
            <w:r>
              <w:rPr>
                <w:b/>
                <w:bCs/>
                <w:sz w:val="17"/>
                <w:szCs w:val="17"/>
              </w:rPr>
              <w:t xml:space="preserve">Refus de publication après dérive du contenu</w:t>
            </w:r>
          </w:p>
          <w:p>
            <w:pPr>
              <w:spacing w:after="0"/>
            </w:pPr>
            <w:r>
              <w:rPr>
                <w:color w:val="475569"/>
                <w:sz w:val="15"/>
                <w:szCs w:val="15"/>
              </w:rPr>
              <w:t xml:space="preserve">Vérifier qu'un contenu modifié après le gel empêche la publication et que l'écart est journalisé.</w:t>
            </w:r>
          </w:p>
        </w:tc>
        <w:tc>
          <w:tcPr>
            <w:tcW w:type="pct" w:w="45%"/>
            <w:tcMar>
              <w:top w:type="dxa" w:w="80"/>
              <w:left w:type="dxa" w:w="110"/>
              <w:bottom w:type="dxa" w:w="80"/>
              <w:right w:type="dxa" w:w="110"/>
            </w:tcMar>
          </w:tcPr>
          <w:p>
            <w:pPr>
              <w:spacing w:after="0"/>
            </w:pPr>
            <w:r>
              <w:rPr>
                <w:sz w:val="17"/>
                <w:szCs w:val="17"/>
              </w:rPr>
              <w:t xml:space="preserve">publication refusée (motif « derive »), document maintenu en revue, refus journalisé avec les deux empreintes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54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OQ-08</w:t>
            </w:r>
          </w:p>
          <w:p>
            <w:pPr>
              <w:spacing w:after="0"/>
            </w:pPr>
            <w:r>
              <w:rPr>
                <w:color w:val="475569"/>
                <w:sz w:val="15"/>
                <w:szCs w:val="15"/>
              </w:rPr>
              <w:t xml:space="preserve">URS-12</w:t>
            </w:r>
          </w:p>
        </w:tc>
        <w:tc>
          <w:tcPr>
            <w:tcW w:type="pct" w:w="30%"/>
            <w:tcMar>
              <w:top w:type="dxa" w:w="80"/>
              <w:left w:type="dxa" w:w="110"/>
              <w:bottom w:type="dxa" w:w="80"/>
              <w:right w:type="dxa" w:w="110"/>
            </w:tcMar>
          </w:tcPr>
          <w:p>
            <w:pPr>
              <w:spacing w:after="50"/>
            </w:pPr>
            <w:r>
              <w:rPr>
                <w:b/>
                <w:bCs/>
                <w:sz w:val="17"/>
                <w:szCs w:val="17"/>
              </w:rPr>
              <w:t xml:space="preserve">Invalidation des signatures à la reprise du contenu</w:t>
            </w:r>
          </w:p>
          <w:p>
            <w:pPr>
              <w:spacing w:after="0"/>
            </w:pPr>
            <w:r>
              <w:rPr>
                <w:color w:val="475569"/>
                <w:sz w:val="15"/>
                <w:szCs w:val="15"/>
              </w:rPr>
              <w:t xml:space="preserve">Vérifier qu'un retour en brouillon efface tout ce qui décrivait un geste de signature.</w:t>
            </w:r>
          </w:p>
        </w:tc>
        <w:tc>
          <w:tcPr>
            <w:tcW w:type="pct" w:w="45%"/>
            <w:tcMar>
              <w:top w:type="dxa" w:w="80"/>
              <w:left w:type="dxa" w:w="110"/>
              <w:bottom w:type="dxa" w:w="80"/>
              <w:right w:type="dxa" w:w="110"/>
            </w:tcMar>
          </w:tcPr>
          <w:p>
            <w:pPr>
              <w:spacing w:after="0"/>
            </w:pPr>
            <w:r>
              <w:rPr>
                <w:sz w:val="17"/>
                <w:szCs w:val="17"/>
              </w:rPr>
              <w:t xml:space="preserve">les six champs décrivant la signature sont effacés, et le gel cesse d'être en vigueur</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49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OQ-09</w:t>
            </w:r>
          </w:p>
          <w:p>
            <w:pPr>
              <w:spacing w:after="0"/>
            </w:pPr>
            <w:r>
              <w:rPr>
                <w:color w:val="475569"/>
                <w:sz w:val="15"/>
                <w:szCs w:val="15"/>
              </w:rPr>
              <w:t xml:space="preserve">URS-13</w:t>
            </w:r>
          </w:p>
        </w:tc>
        <w:tc>
          <w:tcPr>
            <w:tcW w:type="pct" w:w="30%"/>
            <w:tcMar>
              <w:top w:type="dxa" w:w="80"/>
              <w:left w:type="dxa" w:w="110"/>
              <w:bottom w:type="dxa" w:w="80"/>
              <w:right w:type="dxa" w:w="110"/>
            </w:tcMar>
          </w:tcPr>
          <w:p>
            <w:pPr>
              <w:spacing w:after="50"/>
            </w:pPr>
            <w:r>
              <w:rPr>
                <w:b/>
                <w:bCs/>
                <w:sz w:val="17"/>
                <w:szCs w:val="17"/>
              </w:rPr>
              <w:t xml:space="preserve">Verrous de publication</w:t>
            </w:r>
          </w:p>
          <w:p>
            <w:pPr>
              <w:spacing w:after="0"/>
            </w:pPr>
            <w:r>
              <w:rPr>
                <w:color w:val="475569"/>
                <w:sz w:val="15"/>
                <w:szCs w:val="15"/>
              </w:rPr>
              <w:t xml:space="preserve">Vérifier qu'un document ne peut être publié ni sans signature apposée, ni avec un fil de revue ouvert.</w:t>
            </w:r>
          </w:p>
        </w:tc>
        <w:tc>
          <w:tcPr>
            <w:tcW w:type="pct" w:w="45%"/>
            <w:tcMar>
              <w:top w:type="dxa" w:w="80"/>
              <w:left w:type="dxa" w:w="110"/>
              <w:bottom w:type="dxa" w:w="80"/>
              <w:right w:type="dxa" w:w="110"/>
            </w:tcMar>
          </w:tcPr>
          <w:p>
            <w:pPr>
              <w:spacing w:after="0"/>
            </w:pPr>
            <w:r>
              <w:rPr>
                <w:sz w:val="17"/>
                <w:szCs w:val="17"/>
              </w:rPr>
              <w:t xml:space="preserve">refus sans signature, refus avec fil ouvert, acceptation une fois les deux verrous levés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77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OQ-10</w:t>
            </w:r>
          </w:p>
          <w:p>
            <w:pPr>
              <w:spacing w:after="0"/>
            </w:pPr>
            <w:r>
              <w:rPr>
                <w:color w:val="475569"/>
                <w:sz w:val="15"/>
                <w:szCs w:val="15"/>
              </w:rPr>
              <w:t xml:space="preserve">URS-14</w:t>
            </w:r>
          </w:p>
        </w:tc>
        <w:tc>
          <w:tcPr>
            <w:tcW w:type="pct" w:w="30%"/>
            <w:tcMar>
              <w:top w:type="dxa" w:w="80"/>
              <w:left w:type="dxa" w:w="110"/>
              <w:bottom w:type="dxa" w:w="80"/>
              <w:right w:type="dxa" w:w="110"/>
            </w:tcMar>
          </w:tcPr>
          <w:p>
            <w:pPr>
              <w:spacing w:after="50"/>
            </w:pPr>
            <w:r>
              <w:rPr>
                <w:b/>
                <w:bCs/>
                <w:sz w:val="17"/>
                <w:szCs w:val="17"/>
              </w:rPr>
              <w:t xml:space="preserve">Conservation des gels dépassés</w:t>
            </w:r>
          </w:p>
          <w:p>
            <w:pPr>
              <w:spacing w:after="0"/>
            </w:pPr>
            <w:r>
              <w:rPr>
                <w:color w:val="475569"/>
                <w:sz w:val="15"/>
                <w:szCs w:val="15"/>
              </w:rPr>
              <w:t xml:space="preserve">Vérifier qu'un gel remplacé reste en base et que son fichier demeure lisible.</w:t>
            </w:r>
          </w:p>
        </w:tc>
        <w:tc>
          <w:tcPr>
            <w:tcW w:type="pct" w:w="45%"/>
            <w:tcMar>
              <w:top w:type="dxa" w:w="80"/>
              <w:left w:type="dxa" w:w="110"/>
              <w:bottom w:type="dxa" w:w="80"/>
              <w:right w:type="dxa" w:w="110"/>
            </w:tcMar>
          </w:tcPr>
          <w:p>
            <w:pPr>
              <w:spacing w:after="0"/>
            </w:pPr>
            <w:r>
              <w:rPr>
                <w:sz w:val="17"/>
                <w:szCs w:val="17"/>
              </w:rPr>
              <w:t xml:space="preserve">2 instantanés conservés : le gel de revue reste lisible (10497 o, dépassé), l'enregistrement approuvé porte la même empreinte de contenu</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78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OQ-11</w:t>
            </w:r>
          </w:p>
          <w:p>
            <w:pPr>
              <w:spacing w:after="0"/>
            </w:pPr>
            <w:r>
              <w:rPr>
                <w:color w:val="475569"/>
                <w:sz w:val="15"/>
                <w:szCs w:val="15"/>
              </w:rPr>
              <w:t xml:space="preserve">URS-03</w:t>
            </w:r>
          </w:p>
        </w:tc>
        <w:tc>
          <w:tcPr>
            <w:tcW w:type="pct" w:w="30%"/>
            <w:tcMar>
              <w:top w:type="dxa" w:w="80"/>
              <w:left w:type="dxa" w:w="110"/>
              <w:bottom w:type="dxa" w:w="80"/>
              <w:right w:type="dxa" w:w="110"/>
            </w:tcMar>
          </w:tcPr>
          <w:p>
            <w:pPr>
              <w:spacing w:after="50"/>
            </w:pPr>
            <w:r>
              <w:rPr>
                <w:b/>
                <w:bCs/>
                <w:sz w:val="17"/>
                <w:szCs w:val="17"/>
              </w:rPr>
              <w:t xml:space="preserve">Traçabilité des opérations du cycle de vie</w:t>
            </w:r>
          </w:p>
          <w:p>
            <w:pPr>
              <w:spacing w:after="0"/>
            </w:pPr>
            <w:r>
              <w:rPr>
                <w:color w:val="475569"/>
                <w:sz w:val="15"/>
                <w:szCs w:val="15"/>
              </w:rPr>
              <w:t xml:space="preserve">Vérifier que chaque opération produit une entrée d'audit attribuée et horodatée.</w:t>
            </w:r>
          </w:p>
        </w:tc>
        <w:tc>
          <w:tcPr>
            <w:tcW w:type="pct" w:w="45%"/>
            <w:tcMar>
              <w:top w:type="dxa" w:w="80"/>
              <w:left w:type="dxa" w:w="110"/>
              <w:bottom w:type="dxa" w:w="80"/>
              <w:right w:type="dxa" w:w="110"/>
            </w:tcMar>
          </w:tcPr>
          <w:p>
            <w:pPr>
              <w:spacing w:after="0"/>
            </w:pPr>
            <w:r>
              <w:rPr>
                <w:sz w:val="17"/>
                <w:szCs w:val="17"/>
              </w:rPr>
              <w:t xml:space="preserve">5 entrées produites par le cycle, toutes attribuées et horodatées ; actions couvertes : create, statusChange, sign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79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OQ-12</w:t>
            </w:r>
          </w:p>
          <w:p>
            <w:pPr>
              <w:spacing w:after="0"/>
            </w:pPr>
            <w:r>
              <w:rPr>
                <w:color w:val="475569"/>
                <w:sz w:val="15"/>
                <w:szCs w:val="15"/>
              </w:rPr>
              <w:t xml:space="preserve">URS-04</w:t>
            </w:r>
          </w:p>
        </w:tc>
        <w:tc>
          <w:tcPr>
            <w:tcW w:type="pct" w:w="30%"/>
            <w:tcMar>
              <w:top w:type="dxa" w:w="80"/>
              <w:left w:type="dxa" w:w="110"/>
              <w:bottom w:type="dxa" w:w="80"/>
              <w:right w:type="dxa" w:w="110"/>
            </w:tcMar>
          </w:tcPr>
          <w:p>
            <w:pPr>
              <w:spacing w:after="50"/>
            </w:pPr>
            <w:r>
              <w:rPr>
                <w:b/>
                <w:bCs/>
                <w:sz w:val="17"/>
                <w:szCs w:val="17"/>
              </w:rPr>
              <w:t xml:space="preserve">Piste d'audit en ajout seul</w:t>
            </w:r>
          </w:p>
          <w:p>
            <w:pPr>
              <w:spacing w:after="0"/>
            </w:pPr>
            <w:r>
              <w:rPr>
                <w:color w:val="475569"/>
                <w:sz w:val="15"/>
                <w:szCs w:val="15"/>
              </w:rPr>
              <w:t xml:space="preserve">Vérifier par inspection du code source qu'aucune fonction de l'application ne modifie ni ne supprime une entrée de piste d'audit.</w:t>
            </w:r>
          </w:p>
        </w:tc>
        <w:tc>
          <w:tcPr>
            <w:tcW w:type="pct" w:w="45%"/>
            <w:tcMar>
              <w:top w:type="dxa" w:w="80"/>
              <w:left w:type="dxa" w:w="110"/>
              <w:bottom w:type="dxa" w:w="80"/>
              <w:right w:type="dxa" w:w="110"/>
            </w:tcMar>
          </w:tcPr>
          <w:p>
            <w:pPr>
              <w:spacing w:after="0"/>
            </w:pPr>
            <w:r>
              <w:rPr>
                <w:sz w:val="17"/>
                <w:szCs w:val="17"/>
              </w:rPr>
              <w:t xml:space="preserve">150 fichiers source inspectés : aucune modification ni suppression d'entrée ; 1 fichiers en écriture seule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OQ-13</w:t>
            </w:r>
          </w:p>
          <w:p>
            <w:pPr>
              <w:spacing w:after="0"/>
            </w:pPr>
            <w:r>
              <w:rPr>
                <w:color w:val="475569"/>
                <w:sz w:val="15"/>
                <w:szCs w:val="15"/>
              </w:rPr>
              <w:t xml:space="preserve">URS-18</w:t>
            </w:r>
          </w:p>
        </w:tc>
        <w:tc>
          <w:tcPr>
            <w:tcW w:type="pct" w:w="30%"/>
            <w:tcMar>
              <w:top w:type="dxa" w:w="80"/>
              <w:left w:type="dxa" w:w="110"/>
              <w:bottom w:type="dxa" w:w="80"/>
              <w:right w:type="dxa" w:w="110"/>
            </w:tcMar>
          </w:tcPr>
          <w:p>
            <w:pPr>
              <w:spacing w:after="50"/>
            </w:pPr>
            <w:r>
              <w:rPr>
                <w:b/>
                <w:bCs/>
                <w:sz w:val="17"/>
                <w:szCs w:val="17"/>
              </w:rPr>
              <w:t xml:space="preserve">Déterminisme et sensibilité de l'empreinte de contenu</w:t>
            </w:r>
          </w:p>
          <w:p>
            <w:pPr>
              <w:spacing w:after="0"/>
            </w:pPr>
            <w:r>
              <w:rPr>
                <w:color w:val="475569"/>
                <w:sz w:val="15"/>
                <w:szCs w:val="15"/>
              </w:rPr>
              <w:t xml:space="preserve">Vérifier qu'une même projection donne toujours la même empreinte, et que toute modification du contenu la change.</w:t>
            </w:r>
          </w:p>
        </w:tc>
        <w:tc>
          <w:tcPr>
            <w:tcW w:type="pct" w:w="45%"/>
            <w:tcMar>
              <w:top w:type="dxa" w:w="80"/>
              <w:left w:type="dxa" w:w="110"/>
              <w:bottom w:type="dxa" w:w="80"/>
              <w:right w:type="dxa" w:w="110"/>
            </w:tcMar>
          </w:tcPr>
          <w:p>
            <w:pPr>
              <w:spacing w:after="0"/>
            </w:pPr>
            <w:r>
              <w:rPr>
                <w:sz w:val="17"/>
                <w:szCs w:val="17"/>
              </w:rPr>
              <w:t xml:space="preserve">stable sur deux calculs (1a94a44d4ddf08ce…), modifiée par un changement de criticité (a05e9c9317f58803…), revenue à l'identique après annulation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OQ-14</w:t>
            </w:r>
          </w:p>
          <w:p>
            <w:pPr>
              <w:spacing w:after="0"/>
            </w:pPr>
            <w:r>
              <w:rPr>
                <w:color w:val="475569"/>
                <w:sz w:val="15"/>
                <w:szCs w:val="15"/>
              </w:rPr>
              <w:t xml:space="preserve">URS-16</w:t>
            </w:r>
          </w:p>
        </w:tc>
        <w:tc>
          <w:tcPr>
            <w:tcW w:type="pct" w:w="30%"/>
            <w:tcMar>
              <w:top w:type="dxa" w:w="80"/>
              <w:left w:type="dxa" w:w="110"/>
              <w:bottom w:type="dxa" w:w="80"/>
              <w:right w:type="dxa" w:w="110"/>
            </w:tcMar>
          </w:tcPr>
          <w:p>
            <w:pPr>
              <w:spacing w:after="50"/>
            </w:pPr>
            <w:r>
              <w:rPr>
                <w:b/>
                <w:bCs/>
                <w:sz w:val="17"/>
                <w:szCs w:val="17"/>
              </w:rPr>
              <w:t xml:space="preserve">Neutralisation des caractères de contrôle</w:t>
            </w:r>
          </w:p>
          <w:p>
            <w:pPr>
              <w:spacing w:after="0"/>
            </w:pPr>
            <w:r>
              <w:rPr>
                <w:color w:val="475569"/>
                <w:sz w:val="15"/>
                <w:szCs w:val="15"/>
              </w:rPr>
              <w:t xml:space="preserve">Vérifier que les caractères interdits par XML 1.0 sont retirés à la saisie, sans altérer le texte utile.</w:t>
            </w:r>
          </w:p>
        </w:tc>
        <w:tc>
          <w:tcPr>
            <w:tcW w:type="pct" w:w="45%"/>
            <w:tcMar>
              <w:top w:type="dxa" w:w="80"/>
              <w:left w:type="dxa" w:w="110"/>
              <w:bottom w:type="dxa" w:w="80"/>
              <w:right w:type="dxa" w:w="110"/>
            </w:tcMar>
          </w:tcPr>
          <w:p>
            <w:pPr>
              <w:spacing w:after="0"/>
            </w:pPr>
            <w:r>
              <w:rPr>
                <w:sz w:val="17"/>
                <w:szCs w:val="17"/>
              </w:rPr>
              <w:t xml:space="preserve">caractères de contrôle retirés, sauts verticaux convertis, texte accentué préservé : « Exigence valide⏎ avec saut et contrôle »</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OQ-15</w:t>
            </w:r>
          </w:p>
          <w:p>
            <w:pPr>
              <w:spacing w:after="0"/>
            </w:pPr>
            <w:r>
              <w:rPr>
                <w:color w:val="475569"/>
                <w:sz w:val="15"/>
                <w:szCs w:val="15"/>
              </w:rPr>
              <w:t xml:space="preserve">URS-17</w:t>
            </w:r>
          </w:p>
        </w:tc>
        <w:tc>
          <w:tcPr>
            <w:tcW w:type="pct" w:w="30%"/>
            <w:tcMar>
              <w:top w:type="dxa" w:w="80"/>
              <w:left w:type="dxa" w:w="110"/>
              <w:bottom w:type="dxa" w:w="80"/>
              <w:right w:type="dxa" w:w="110"/>
            </w:tcMar>
          </w:tcPr>
          <w:p>
            <w:pPr>
              <w:spacing w:after="50"/>
            </w:pPr>
            <w:r>
              <w:rPr>
                <w:b/>
                <w:bCs/>
                <w:sz w:val="17"/>
                <w:szCs w:val="17"/>
              </w:rPr>
              <w:t xml:space="preserve">Robustesse de la reprise par fichier tabulé</w:t>
            </w:r>
          </w:p>
          <w:p>
            <w:pPr>
              <w:spacing w:after="0"/>
            </w:pPr>
            <w:r>
              <w:rPr>
                <w:color w:val="475569"/>
                <w:sz w:val="15"/>
                <w:szCs w:val="15"/>
              </w:rPr>
              <w:t xml:space="preserve">Vérifier que les cellules multi-lignes entre guillemets sont préservées et que les amorces de formule sont neutralisées.</w:t>
            </w:r>
          </w:p>
        </w:tc>
        <w:tc>
          <w:tcPr>
            <w:tcW w:type="pct" w:w="45%"/>
            <w:tcMar>
              <w:top w:type="dxa" w:w="80"/>
              <w:left w:type="dxa" w:w="110"/>
              <w:bottom w:type="dxa" w:w="80"/>
              <w:right w:type="dxa" w:w="110"/>
            </w:tcMar>
          </w:tcPr>
          <w:p>
            <w:pPr>
              <w:spacing w:after="0"/>
            </w:pPr>
            <w:r>
              <w:rPr>
                <w:sz w:val="17"/>
                <w:szCs w:val="17"/>
              </w:rPr>
              <w:t xml:space="preserve">cellule multi-lignes préservée, numérotation physique correcte (ligne 4), quatre amorces de formule neutralisées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OQ-16</w:t>
            </w:r>
          </w:p>
          <w:p>
            <w:pPr>
              <w:spacing w:after="0"/>
            </w:pPr>
            <w:r>
              <w:rPr>
                <w:color w:val="475569"/>
                <w:sz w:val="15"/>
                <w:szCs w:val="15"/>
              </w:rPr>
              <w:t xml:space="preserve">URS-15</w:t>
            </w:r>
          </w:p>
        </w:tc>
        <w:tc>
          <w:tcPr>
            <w:tcW w:type="pct" w:w="30%"/>
            <w:tcMar>
              <w:top w:type="dxa" w:w="80"/>
              <w:left w:type="dxa" w:w="110"/>
              <w:bottom w:type="dxa" w:w="80"/>
              <w:right w:type="dxa" w:w="110"/>
            </w:tcMar>
          </w:tcPr>
          <w:p>
            <w:pPr>
              <w:spacing w:after="50"/>
            </w:pPr>
            <w:r>
              <w:rPr>
                <w:b/>
                <w:bCs/>
                <w:sz w:val="17"/>
                <w:szCs w:val="17"/>
              </w:rPr>
              <w:t xml:space="preserve">Moteur de performance analytique — vecteurs des protocoles CLSI</w:t>
            </w:r>
          </w:p>
          <w:p>
            <w:pPr>
              <w:spacing w:after="0"/>
            </w:pPr>
            <w:r>
              <w:rPr>
                <w:color w:val="475569"/>
                <w:sz w:val="15"/>
                <w:szCs w:val="15"/>
              </w:rPr>
              <w:t xml:space="preserve">Rejouer la suite de vecteurs de test issus des exemples travaillés des protocoles EP05, EP06, EP09, EP17, EP25 et EP26.</w:t>
            </w:r>
          </w:p>
        </w:tc>
        <w:tc>
          <w:tcPr>
            <w:tcW w:type="pct" w:w="45%"/>
            <w:tcMar>
              <w:top w:type="dxa" w:w="80"/>
              <w:left w:type="dxa" w:w="110"/>
              <w:bottom w:type="dxa" w:w="80"/>
              <w:right w:type="dxa" w:w="110"/>
            </w:tcMar>
          </w:tcPr>
          <w:p>
            <w:pPr>
              <w:spacing w:after="0"/>
            </w:pPr>
            <w:r>
              <w:rPr>
                <w:sz w:val="17"/>
                <w:szCs w:val="17"/>
              </w:rPr>
              <w:t xml:space="preserve">66 vecteurs conformes aux exemples travaillés, 0 écart — protocoles EP05, EP06, EP09, EP17, EP25, EP26</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314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OQ-17</w:t>
            </w:r>
          </w:p>
          <w:p>
            <w:pPr>
              <w:spacing w:after="0"/>
            </w:pPr>
            <w:r>
              <w:rPr>
                <w:color w:val="475569"/>
                <w:sz w:val="15"/>
                <w:szCs w:val="15"/>
              </w:rPr>
              <w:t xml:space="preserve">URS-21</w:t>
            </w:r>
          </w:p>
        </w:tc>
        <w:tc>
          <w:tcPr>
            <w:tcW w:type="pct" w:w="30%"/>
            <w:tcMar>
              <w:top w:type="dxa" w:w="80"/>
              <w:left w:type="dxa" w:w="110"/>
              <w:bottom w:type="dxa" w:w="80"/>
              <w:right w:type="dxa" w:w="110"/>
            </w:tcMar>
          </w:tcPr>
          <w:p>
            <w:pPr>
              <w:spacing w:after="50"/>
            </w:pPr>
            <w:r>
              <w:rPr>
                <w:b/>
                <w:bCs/>
                <w:sz w:val="17"/>
                <w:szCs w:val="17"/>
              </w:rPr>
              <w:t xml:space="preserve">Archive d'inspection — octets exacts, empreintes vérifiables, altération signalée</w:t>
            </w:r>
          </w:p>
          <w:p>
            <w:pPr>
              <w:spacing w:after="0"/>
            </w:pPr>
            <w:r>
              <w:rPr>
                <w:color w:val="475569"/>
                <w:sz w:val="15"/>
                <w:szCs w:val="15"/>
              </w:rPr>
              <w:t xml:space="preserve">Vérifier que l'archive restitue les octets du gel eux-mêmes, que sa liste d'empreintes décrit exactement son contenu, et qu'un enregistrement altéré sur disque y est signalé au lieu d'être présenté comme intact.</w:t>
            </w:r>
          </w:p>
        </w:tc>
        <w:tc>
          <w:tcPr>
            <w:tcW w:type="pct" w:w="45%"/>
            <w:tcMar>
              <w:top w:type="dxa" w:w="80"/>
              <w:left w:type="dxa" w:w="110"/>
              <w:bottom w:type="dxa" w:w="80"/>
              <w:right w:type="dxa" w:w="110"/>
            </w:tcMar>
          </w:tcPr>
          <w:p>
            <w:pPr>
              <w:spacing w:after="0"/>
            </w:pPr>
            <w:r>
              <w:rPr>
                <w:sz w:val="17"/>
                <w:szCs w:val="17"/>
              </w:rPr>
              <w:t xml:space="preserve">13 enregistrement(s) archivé(s), 43 fichier(s) couverts par empreintes.sha256, 0 écart ; ancre e1713d0c523fe513… ; octets du gel restitués à l'identique ; altération d'un octet détectée et signalée ALTÉRÉ, fichier conservé dans l'archive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472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OQ-18</w:t>
            </w:r>
          </w:p>
          <w:p>
            <w:pPr>
              <w:spacing w:after="0"/>
            </w:pPr>
            <w:r>
              <w:rPr>
                <w:color w:val="475569"/>
                <w:sz w:val="15"/>
                <w:szCs w:val="15"/>
              </w:rPr>
              <w:t xml:space="preserve">URS-22</w:t>
            </w:r>
          </w:p>
        </w:tc>
        <w:tc>
          <w:tcPr>
            <w:tcW w:type="pct" w:w="30%"/>
            <w:tcMar>
              <w:top w:type="dxa" w:w="80"/>
              <w:left w:type="dxa" w:w="110"/>
              <w:bottom w:type="dxa" w:w="80"/>
              <w:right w:type="dxa" w:w="110"/>
            </w:tcMar>
          </w:tcPr>
          <w:p>
            <w:pPr>
              <w:spacing w:after="50"/>
            </w:pPr>
            <w:r>
              <w:rPr>
                <w:b/>
                <w:bCs/>
                <w:sz w:val="17"/>
                <w:szCs w:val="17"/>
              </w:rPr>
              <w:t xml:space="preserve">Conservation légale — pose, verrou, levée, motifs obligatoires</w:t>
            </w:r>
          </w:p>
          <w:p>
            <w:pPr>
              <w:spacing w:after="0"/>
            </w:pPr>
            <w:r>
              <w:rPr>
                <w:color w:val="475569"/>
                <w:sz w:val="15"/>
                <w:szCs w:val="15"/>
              </w:rPr>
              <w:t xml:space="preserve">Vérifier qu'une conservation légale bloque effectivement la suppression, qu'elle exige un motif à la pose comme à la levée, et que les deux gestes sont journalisés.</w:t>
            </w:r>
          </w:p>
        </w:tc>
        <w:tc>
          <w:tcPr>
            <w:tcW w:type="pct" w:w="45%"/>
            <w:tcMar>
              <w:top w:type="dxa" w:w="80"/>
              <w:left w:type="dxa" w:w="110"/>
              <w:bottom w:type="dxa" w:w="80"/>
              <w:right w:type="dxa" w:w="110"/>
            </w:tcMar>
          </w:tcPr>
          <w:p>
            <w:pPr>
              <w:spacing w:after="0"/>
            </w:pPr>
            <w:r>
              <w:rPr>
                <w:sz w:val="17"/>
                <w:szCs w:val="17"/>
              </w:rPr>
              <w:t xml:space="preserve">pose sans motif refusée, seconde pose refusée, levée sans motif refusée ; blocage effectif pendant la conservation, levé après ; 2 entrée(s) de piste d'audit distinguant POSÉE et LEVÉE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OQ-19</w:t>
            </w:r>
          </w:p>
          <w:p>
            <w:pPr>
              <w:spacing w:after="0"/>
            </w:pPr>
            <w:r>
              <w:rPr>
                <w:color w:val="475569"/>
                <w:sz w:val="15"/>
                <w:szCs w:val="15"/>
              </w:rPr>
              <w:t xml:space="preserve">URS-23</w:t>
            </w:r>
          </w:p>
        </w:tc>
        <w:tc>
          <w:tcPr>
            <w:tcW w:type="pct" w:w="30%"/>
            <w:tcMar>
              <w:top w:type="dxa" w:w="80"/>
              <w:left w:type="dxa" w:w="110"/>
              <w:bottom w:type="dxa" w:w="80"/>
              <w:right w:type="dxa" w:w="110"/>
            </w:tcMar>
          </w:tcPr>
          <w:p>
            <w:pPr>
              <w:spacing w:after="50"/>
            </w:pPr>
            <w:r>
              <w:rPr>
                <w:b/>
                <w:bCs/>
                <w:sz w:val="17"/>
                <w:szCs w:val="17"/>
              </w:rPr>
              <w:t xml:space="preserve">Durée de rétention déclarée et reportée en échéance</w:t>
            </w:r>
          </w:p>
          <w:p>
            <w:pPr>
              <w:spacing w:after="0"/>
            </w:pPr>
            <w:r>
              <w:rPr>
                <w:color w:val="475569"/>
                <w:sz w:val="15"/>
                <w:szCs w:val="15"/>
              </w:rPr>
              <w:t xml:space="preserve">Vérifier que la durée déclarée produit une échéance par enregistrement dans l'archive, et qu'en son absence l'archive le dit au lieu d'inventer une valeur.</w:t>
            </w:r>
          </w:p>
        </w:tc>
        <w:tc>
          <w:tcPr>
            <w:tcW w:type="pct" w:w="45%"/>
            <w:tcMar>
              <w:top w:type="dxa" w:w="80"/>
              <w:left w:type="dxa" w:w="110"/>
              <w:bottom w:type="dxa" w:w="80"/>
              <w:right w:type="dxa" w:w="110"/>
            </w:tcMar>
          </w:tcPr>
          <w:p>
            <w:pPr>
              <w:spacing w:after="0"/>
            </w:pPr>
            <w:r>
              <w:rPr>
                <w:sz w:val="17"/>
                <w:szCs w:val="17"/>
              </w:rPr>
              <w:t xml:space="preserve">durée non déclarée annoncée telle quelle ; quatre valeurs invalides refusées (0, -1, 101, 7.5) ; 10 ans déclarés → échéance 2036-08-06 portée par le manifeste, procédure QP-014 rév. B citée dans la lettre d'accompagnement</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377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OQ-20</w:t>
            </w:r>
          </w:p>
          <w:p>
            <w:pPr>
              <w:spacing w:after="0"/>
            </w:pPr>
            <w:r>
              <w:rPr>
                <w:color w:val="475569"/>
                <w:sz w:val="15"/>
                <w:szCs w:val="15"/>
              </w:rPr>
              <w:t xml:space="preserve">URS-24</w:t>
            </w:r>
          </w:p>
        </w:tc>
        <w:tc>
          <w:tcPr>
            <w:tcW w:type="pct" w:w="30%"/>
            <w:tcMar>
              <w:top w:type="dxa" w:w="80"/>
              <w:left w:type="dxa" w:w="110"/>
              <w:bottom w:type="dxa" w:w="80"/>
              <w:right w:type="dxa" w:w="110"/>
            </w:tcMar>
          </w:tcPr>
          <w:p>
            <w:pPr>
              <w:spacing w:after="50"/>
            </w:pPr>
            <w:r>
              <w:rPr>
                <w:b/>
                <w:bCs/>
                <w:sz w:val="17"/>
                <w:szCs w:val="17"/>
              </w:rPr>
              <w:t xml:space="preserve">La liaison signature ↔ enregistrement survit à la révision suivante</w:t>
            </w:r>
          </w:p>
          <w:p>
            <w:pPr>
              <w:spacing w:after="0"/>
            </w:pPr>
            <w:r>
              <w:rPr>
                <w:color w:val="475569"/>
                <w:sz w:val="15"/>
                <w:szCs w:val="15"/>
              </w:rPr>
              <w:t xml:space="preserve">Publier une révision, en ouvrir une nouvelle, et vérifier que l'approbation de la révision publiée conserve son signataire, son horodatage, l'instantané signé et l'empreinte du contenu attesté.</w:t>
            </w:r>
          </w:p>
        </w:tc>
        <w:tc>
          <w:tcPr>
            <w:tcW w:type="pct" w:w="45%"/>
            <w:tcMar>
              <w:top w:type="dxa" w:w="80"/>
              <w:left w:type="dxa" w:w="110"/>
              <w:bottom w:type="dxa" w:w="80"/>
              <w:right w:type="dxa" w:w="110"/>
            </w:tcMar>
          </w:tcPr>
          <w:p>
            <w:pPr>
              <w:spacing w:after="0"/>
            </w:pPr>
            <w:r>
              <w:rPr>
                <w:sz w:val="17"/>
                <w:szCs w:val="17"/>
              </w:rPr>
              <w:t xml:space="preserve">signature de la rév. 001 intacte après ouverture de la rév. 002 (horodatage, nom imprimé, manifestation, méthode, empreinte 616af660a3d9a89d…, instantané désigné) ; ronde 001 marquée dépassée ; nouvelle ronde 002 créée pour le même signataire, non signée ; signature d'une ligne dépassée refusée ; 2 enregistrement(s) de la rév. 001 au manifeste, rattachés par lien direct en base ; 12 document(s) contrôlé(s) : aucune approbation en vigueur sur une autre révision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292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OQ-21</w:t>
            </w:r>
          </w:p>
          <w:p>
            <w:pPr>
              <w:spacing w:after="0"/>
            </w:pPr>
            <w:r>
              <w:rPr>
                <w:color w:val="475569"/>
                <w:sz w:val="15"/>
                <w:szCs w:val="15"/>
              </w:rPr>
              <w:t xml:space="preserve">URS-25</w:t>
            </w:r>
          </w:p>
        </w:tc>
        <w:tc>
          <w:tcPr>
            <w:tcW w:type="pct" w:w="30%"/>
            <w:tcMar>
              <w:top w:type="dxa" w:w="80"/>
              <w:left w:type="dxa" w:w="110"/>
              <w:bottom w:type="dxa" w:w="80"/>
              <w:right w:type="dxa" w:w="110"/>
            </w:tcMar>
          </w:tcPr>
          <w:p>
            <w:pPr>
              <w:spacing w:after="50"/>
            </w:pPr>
            <w:r>
              <w:rPr>
                <w:b/>
                <w:bCs/>
                <w:sz w:val="17"/>
                <w:szCs w:val="17"/>
              </w:rPr>
              <w:t xml:space="preserve">Horodatage RFC 3161 — encodage, décodage, et refus de ce qui ne concerne pas l'ancre</w:t>
            </w:r>
          </w:p>
          <w:p>
            <w:pPr>
              <w:spacing w:after="0"/>
            </w:pPr>
            <w:r>
              <w:rPr>
                <w:color w:val="475569"/>
                <w:sz w:val="15"/>
                <w:szCs w:val="15"/>
              </w:rPr>
              <w:t xml:space="preserve">Vérifier sur des vecteurs figés que la requête est conforme, que le jeton est lu exactement, et qu'un jeton attestant une autre empreinte, un autre nonce ou portant un refus est rejeté.</w:t>
            </w:r>
          </w:p>
        </w:tc>
        <w:tc>
          <w:tcPr>
            <w:tcW w:type="pct" w:w="45%"/>
            <w:tcMar>
              <w:top w:type="dxa" w:w="80"/>
              <w:left w:type="dxa" w:w="110"/>
              <w:bottom w:type="dxa" w:w="80"/>
              <w:right w:type="dxa" w:w="110"/>
            </w:tcMar>
          </w:tcPr>
          <w:p>
            <w:pPr>
              <w:spacing w:after="0"/>
            </w:pPr>
            <w:r>
              <w:rPr>
                <w:sz w:val="17"/>
                <w:szCs w:val="17"/>
              </w:rPr>
              <w:t xml:space="preserve">requête DER de 89 octets portant l'empreinte demandée ; jeton de 2418 octets lu exactement (date 2026-08-03T08:55:03.000Z, série 02, politique 1.3.6.1.4.1.99999.1.1) ; quatre refus obtenus : autre empreinte, autre nonce, réponse de rejet de l'autorité, jeton tronqué</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OQ-22</w:t>
            </w:r>
          </w:p>
          <w:p>
            <w:pPr>
              <w:spacing w:after="0"/>
            </w:pPr>
            <w:r>
              <w:rPr>
                <w:color w:val="475569"/>
                <w:sz w:val="15"/>
                <w:szCs w:val="15"/>
              </w:rPr>
              <w:t xml:space="preserve">URS-26</w:t>
            </w:r>
          </w:p>
        </w:tc>
        <w:tc>
          <w:tcPr>
            <w:tcW w:type="pct" w:w="30%"/>
            <w:tcMar>
              <w:top w:type="dxa" w:w="80"/>
              <w:left w:type="dxa" w:w="110"/>
              <w:bottom w:type="dxa" w:w="80"/>
              <w:right w:type="dxa" w:w="110"/>
            </w:tcMar>
          </w:tcPr>
          <w:p>
            <w:pPr>
              <w:spacing w:after="50"/>
            </w:pPr>
            <w:r>
              <w:rPr>
                <w:b/>
                <w:bCs/>
                <w:sz w:val="17"/>
                <w:szCs w:val="17"/>
              </w:rPr>
              <w:t xml:space="preserve">La remise à zéro de la base couvre chaque modèle du schéma</w:t>
            </w:r>
          </w:p>
          <w:p>
            <w:pPr>
              <w:spacing w:after="0"/>
            </w:pPr>
            <w:r>
              <w:rPr>
                <w:color w:val="475569"/>
                <w:sz w:val="15"/>
                <w:szCs w:val="15"/>
              </w:rPr>
              <w:t xml:space="preserve">Vérifier que le script d'amorçage purge tous les modèles déclarés, de sorte qu'un modèle ajouté sans être purgé soit signalé ici plutôt que découvert par une erreur de clé étrangère.</w:t>
            </w:r>
          </w:p>
        </w:tc>
        <w:tc>
          <w:tcPr>
            <w:tcW w:type="pct" w:w="45%"/>
            <w:tcMar>
              <w:top w:type="dxa" w:w="80"/>
              <w:left w:type="dxa" w:w="110"/>
              <w:bottom w:type="dxa" w:w="80"/>
              <w:right w:type="dxa" w:w="110"/>
            </w:tcMar>
          </w:tcPr>
          <w:p>
            <w:pPr>
              <w:spacing w:after="0"/>
            </w:pPr>
            <w:r>
              <w:rPr>
                <w:sz w:val="17"/>
                <w:szCs w:val="17"/>
              </w:rPr>
              <w:t xml:space="preserve">34 modèles déclarés, tous purgés ou détachés par prisma/seed.ts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OQ-23</w:t>
            </w:r>
          </w:p>
          <w:p>
            <w:pPr>
              <w:spacing w:after="0"/>
            </w:pPr>
            <w:r>
              <w:rPr>
                <w:color w:val="475569"/>
                <w:sz w:val="15"/>
                <w:szCs w:val="15"/>
              </w:rPr>
              <w:t xml:space="preserve">URS-27</w:t>
            </w:r>
          </w:p>
        </w:tc>
        <w:tc>
          <w:tcPr>
            <w:tcW w:type="pct" w:w="30%"/>
            <w:tcMar>
              <w:top w:type="dxa" w:w="80"/>
              <w:left w:type="dxa" w:w="110"/>
              <w:bottom w:type="dxa" w:w="80"/>
              <w:right w:type="dxa" w:w="110"/>
            </w:tcMar>
          </w:tcPr>
          <w:p>
            <w:pPr>
              <w:spacing w:after="50"/>
            </w:pPr>
            <w:r>
              <w:rPr>
                <w:b/>
                <w:bCs/>
                <w:sz w:val="17"/>
                <w:szCs w:val="17"/>
              </w:rPr>
              <w:t xml:space="preserve">Chaînage de la piste d'audit — continuité, modification, suppression</w:t>
            </w:r>
          </w:p>
          <w:p>
            <w:pPr>
              <w:spacing w:after="0"/>
            </w:pPr>
            <w:r>
              <w:rPr>
                <w:color w:val="475569"/>
                <w:sz w:val="15"/>
                <w:szCs w:val="15"/>
              </w:rPr>
              <w:t xml:space="preserve">Vérifier que la chaîne se construit sans rupture, qu'une entrée modifiée directement en base est détectée au rang exact, qu'une entrée supprimée l'est aussi, et que la remise en état rend la chaîne de nouveau intacte.</w:t>
            </w:r>
          </w:p>
        </w:tc>
        <w:tc>
          <w:tcPr>
            <w:tcW w:type="pct" w:w="45%"/>
            <w:tcMar>
              <w:top w:type="dxa" w:w="80"/>
              <w:left w:type="dxa" w:w="110"/>
              <w:bottom w:type="dxa" w:w="80"/>
              <w:right w:type="dxa" w:w="110"/>
            </w:tcMar>
          </w:tcPr>
          <w:p>
            <w:pPr>
              <w:spacing w:after="0"/>
            </w:pPr>
            <w:r>
              <w:rPr>
                <w:sz w:val="17"/>
                <w:szCs w:val="17"/>
              </w:rPr>
              <w:t xml:space="preserve">5 entrées chaînées à rangs contigus (53–57) ; modification détectée au rang 55 (nature « contenu »), chaîne de nouveau intacte après remise en état ; suppression détectée au rang 56 (nature « séquence ») ; l'empreinte dépend des 8 champs et du maillon précédent ; sérialisation non ambiguë</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OQ-24</w:t>
            </w:r>
          </w:p>
          <w:p>
            <w:pPr>
              <w:spacing w:after="0"/>
            </w:pPr>
            <w:r>
              <w:rPr>
                <w:color w:val="475569"/>
                <w:sz w:val="15"/>
                <w:szCs w:val="15"/>
              </w:rPr>
              <w:t xml:space="preserve">URS-28</w:t>
            </w:r>
          </w:p>
        </w:tc>
        <w:tc>
          <w:tcPr>
            <w:tcW w:type="pct" w:w="30%"/>
            <w:tcMar>
              <w:top w:type="dxa" w:w="80"/>
              <w:left w:type="dxa" w:w="110"/>
              <w:bottom w:type="dxa" w:w="80"/>
              <w:right w:type="dxa" w:w="110"/>
            </w:tcMar>
          </w:tcPr>
          <w:p>
            <w:pPr>
              <w:spacing w:after="50"/>
            </w:pPr>
            <w:r>
              <w:rPr>
                <w:b/>
                <w:bCs/>
                <w:sz w:val="17"/>
                <w:szCs w:val="17"/>
              </w:rPr>
              <w:t xml:space="preserve">Point de passage unique, et équivalence du miroir de la console serveur</w:t>
            </w:r>
          </w:p>
          <w:p>
            <w:pPr>
              <w:spacing w:after="0"/>
            </w:pPr>
            <w:r>
              <w:rPr>
                <w:color w:val="475569"/>
                <w:sz w:val="15"/>
                <w:szCs w:val="15"/>
              </w:rPr>
              <w:t xml:space="preserve">Vérifier qu'aucune écriture dans la piste ne contourne le module de chaînage, et que l'implémentation miroir des scripts de console produit exactement les mêmes empreintes.</w:t>
            </w:r>
          </w:p>
        </w:tc>
        <w:tc>
          <w:tcPr>
            <w:tcW w:type="pct" w:w="45%"/>
            <w:tcMar>
              <w:top w:type="dxa" w:w="80"/>
              <w:left w:type="dxa" w:w="110"/>
              <w:bottom w:type="dxa" w:w="80"/>
              <w:right w:type="dxa" w:w="110"/>
            </w:tcMar>
          </w:tcPr>
          <w:p>
            <w:pPr>
              <w:spacing w:after="0"/>
            </w:pPr>
            <w:r>
              <w:rPr>
                <w:sz w:val="17"/>
                <w:szCs w:val="17"/>
              </w:rPr>
              <w:t xml:space="preserve">204 fichier(s) source relus, aucune écriture dans la piste hors du module ; 9 empreintes comparées entre l'implémentation TypeScript et le miroir de la console serveur, toutes identiques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OQ-25</w:t>
            </w:r>
          </w:p>
          <w:p>
            <w:pPr>
              <w:spacing w:after="0"/>
            </w:pPr>
            <w:r>
              <w:rPr>
                <w:color w:val="475569"/>
                <w:sz w:val="15"/>
                <w:szCs w:val="15"/>
              </w:rPr>
              <w:t xml:space="preserve">URS-29</w:t>
            </w:r>
          </w:p>
        </w:tc>
        <w:tc>
          <w:tcPr>
            <w:tcW w:type="pct" w:w="30%"/>
            <w:tcMar>
              <w:top w:type="dxa" w:w="80"/>
              <w:left w:type="dxa" w:w="110"/>
              <w:bottom w:type="dxa" w:w="80"/>
              <w:right w:type="dxa" w:w="110"/>
            </w:tcMar>
          </w:tcPr>
          <w:p>
            <w:pPr>
              <w:spacing w:after="50"/>
            </w:pPr>
            <w:r>
              <w:rPr>
                <w:b/>
                <w:bCs/>
                <w:sz w:val="17"/>
                <w:szCs w:val="17"/>
              </w:rPr>
              <w:t xml:space="preserve">Âge des mots de passe — calcul, et distinction des trois états</w:t>
            </w:r>
          </w:p>
          <w:p>
            <w:pPr>
              <w:spacing w:after="0"/>
            </w:pPr>
            <w:r>
              <w:rPr>
                <w:color w:val="475569"/>
                <w:sz w:val="15"/>
                <w:szCs w:val="15"/>
              </w:rPr>
              <w:t xml:space="preserve">Vérifier que l'âge se calcule depuis la date de changement, qu'un compte sans mot de passe n'est jamais concerné, et que les trois motifs de renouvellement se distinguent.</w:t>
            </w:r>
          </w:p>
        </w:tc>
        <w:tc>
          <w:tcPr>
            <w:tcW w:type="pct" w:w="45%"/>
            <w:tcMar>
              <w:top w:type="dxa" w:w="80"/>
              <w:left w:type="dxa" w:w="110"/>
              <w:bottom w:type="dxa" w:w="80"/>
              <w:right w:type="dxa" w:w="110"/>
            </w:tcMar>
          </w:tcPr>
          <w:p>
            <w:pPr>
              <w:spacing w:after="0"/>
            </w:pPr>
            <w:r>
              <w:rPr>
                <w:sz w:val="17"/>
                <w:szCs w:val="17"/>
              </w:rPr>
              <w:t xml:space="preserve">âge calculé en jours entiers (31, 0, null) ; compte référencé hors politique ; sésame administrateur exigé avec ET sans politique ; expiration à 90 j atteinte à 90, pas à 89 ; mot de passe jamais changé signalé toujours, exigé seulement sous politique déclarée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OQ-26</w:t>
            </w:r>
          </w:p>
          <w:p>
            <w:pPr>
              <w:spacing w:after="0"/>
            </w:pPr>
            <w:r>
              <w:rPr>
                <w:color w:val="475569"/>
                <w:sz w:val="15"/>
                <w:szCs w:val="15"/>
              </w:rPr>
              <w:t xml:space="preserve">URS-30</w:t>
            </w:r>
          </w:p>
        </w:tc>
        <w:tc>
          <w:tcPr>
            <w:tcW w:type="pct" w:w="30%"/>
            <w:tcMar>
              <w:top w:type="dxa" w:w="80"/>
              <w:left w:type="dxa" w:w="110"/>
              <w:bottom w:type="dxa" w:w="80"/>
              <w:right w:type="dxa" w:w="110"/>
            </w:tcMar>
          </w:tcPr>
          <w:p>
            <w:pPr>
              <w:spacing w:after="50"/>
            </w:pPr>
            <w:r>
              <w:rPr>
                <w:b/>
                <w:bCs/>
                <w:sz w:val="17"/>
                <w:szCs w:val="17"/>
              </w:rPr>
              <w:t xml:space="preserve">Renouvellement imposé : la date est posée, et aucun point d'entrée ne contourne la garde</w:t>
            </w:r>
          </w:p>
          <w:p>
            <w:pPr>
              <w:spacing w:after="0"/>
            </w:pPr>
            <w:r>
              <w:rPr>
                <w:color w:val="475569"/>
                <w:sz w:val="15"/>
                <w:szCs w:val="15"/>
              </w:rPr>
              <w:t xml:space="preserve">Vérifier que définir un mot de passe horodate le changement et exige le renouvellement, et qu'aucune page ni route de l'application ne s'authentifie hors du garde qui applique cette exigence.</w:t>
            </w:r>
          </w:p>
        </w:tc>
        <w:tc>
          <w:tcPr>
            <w:tcW w:type="pct" w:w="45%"/>
            <w:tcMar>
              <w:top w:type="dxa" w:w="80"/>
              <w:left w:type="dxa" w:w="110"/>
              <w:bottom w:type="dxa" w:w="80"/>
              <w:right w:type="dxa" w:w="110"/>
            </w:tcMar>
          </w:tcPr>
          <w:p>
            <w:pPr>
              <w:spacing w:after="0"/>
            </w:pPr>
            <w:r>
              <w:rPr>
                <w:sz w:val="17"/>
                <w:szCs w:val="17"/>
              </w:rPr>
              <w:t xml:space="preserve">consommation de jeton et changement personnel horodatés et exigence levée, compte d'amorçage horodaté et marqué à renouveler ; requireUser() redirige vers l'écran de renouvellement ; 50 point(s) d'entrée relus, aucun ne s'authentifie hors du garde (3 exceptions nommées : mise en page, connexion, renouvellement)</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OQ-27</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Réinitialisation par jeton : usage unique, borné dans le temps, lié à un seul compte</w:t>
            </w:r>
          </w:p>
          <w:p>
            <w:pPr>
              <w:spacing w:after="0"/>
            </w:pPr>
            <w:r>
              <w:rPr>
                <w:color w:val="475569"/>
                <w:sz w:val="15"/>
                <w:szCs w:val="15"/>
              </w:rPr>
              <w:t xml:space="preserve">Vérifier qu'un jeton n'est stocké que haché, qu'il ouvre le choix du mot de passe une seule fois, qu'il expire, qu'il ne vaut que pour le compte auquel il a été émis, et qu'une réémission révoque le précédent.</w:t>
            </w:r>
          </w:p>
        </w:tc>
        <w:tc>
          <w:tcPr>
            <w:tcW w:type="pct" w:w="45%"/>
            <w:tcMar>
              <w:top w:type="dxa" w:w="80"/>
              <w:left w:type="dxa" w:w="110"/>
              <w:bottom w:type="dxa" w:w="80"/>
              <w:right w:type="dxa" w:w="110"/>
            </w:tcMar>
          </w:tcPr>
          <w:p>
            <w:pPr>
              <w:spacing w:after="0"/>
            </w:pPr>
            <w:r>
              <w:rPr>
                <w:sz w:val="17"/>
                <w:szCs w:val="17"/>
              </w:rPr>
              <w:t xml:space="preserve">jeton stocké sous forme d'empreinte SHA-256 seule ; refusé sur un compte étranger, au rejeu (« utilise »), après expiration (« expire ») et après réémission ; accepté une fois, saisie normalisée, posant le mot de passe choisi par le titulaire sans réimposer de renouvellement ; 1 session révoquée à l'émission ; émission refusée sur compte désactivé</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225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OQ-28</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Aucun chemin ne permet de poser le mot de passe d'un autre</w:t>
            </w:r>
          </w:p>
          <w:p>
            <w:pPr>
              <w:spacing w:after="0"/>
            </w:pPr>
            <w:r>
              <w:rPr>
                <w:color w:val="475569"/>
                <w:sz w:val="15"/>
                <w:szCs w:val="15"/>
              </w:rPr>
              <w:t xml:space="preserve">Vérifier, en relisant la source, que la seule écriture de mot de passe portant sur autrui passe par la consommation d'un jeton, et qu'aucun formulaire ni outil de console ne fait saisir le mot de passe d'un tiers.</w:t>
            </w:r>
          </w:p>
        </w:tc>
        <w:tc>
          <w:tcPr>
            <w:tcW w:type="pct" w:w="45%"/>
            <w:tcMar>
              <w:top w:type="dxa" w:w="80"/>
              <w:left w:type="dxa" w:w="110"/>
              <w:bottom w:type="dxa" w:w="80"/>
              <w:right w:type="dxa" w:w="110"/>
            </w:tcMar>
          </w:tcPr>
          <w:p>
            <w:pPr>
              <w:spacing w:after="0"/>
            </w:pPr>
            <w:r>
              <w:rPr>
                <w:sz w:val="17"/>
                <w:szCs w:val="17"/>
              </w:rPr>
              <w:t xml:space="preserve">204 fichier(s) source relus : aucune écriture de mot de passe hors des chemins autorisés ; une seule écriture dans les actions serveur, le changement personnel, qui exige l'ancien mot de passe ; l'outil d'urgence de la console émet un jeton et ne sait plus dériver de mot de passe ; aucun champ de mot de passe hors des 7 écrans où l'on saisit le sien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OQ-29</w:t>
            </w:r>
          </w:p>
          <w:p>
            <w:pPr>
              <w:spacing w:after="0"/>
            </w:pPr>
            <w:r>
              <w:rPr>
                <w:color w:val="475569"/>
                <w:sz w:val="15"/>
                <w:szCs w:val="15"/>
              </w:rPr>
              <w:t xml:space="preserve">URS-32</w:t>
            </w:r>
          </w:p>
        </w:tc>
        <w:tc>
          <w:tcPr>
            <w:tcW w:type="pct" w:w="30%"/>
            <w:tcMar>
              <w:top w:type="dxa" w:w="80"/>
              <w:left w:type="dxa" w:w="110"/>
              <w:bottom w:type="dxa" w:w="80"/>
              <w:right w:type="dxa" w:w="110"/>
            </w:tcMar>
          </w:tcPr>
          <w:p>
            <w:pPr>
              <w:spacing w:after="50"/>
            </w:pPr>
            <w:r>
              <w:rPr>
                <w:b/>
                <w:bCs/>
                <w:sz w:val="17"/>
                <w:szCs w:val="17"/>
              </w:rPr>
              <w:t xml:space="preserve">L'image livrée démarre, s'amorce, et ne divulgue rien</w:t>
            </w:r>
          </w:p>
          <w:p>
            <w:pPr>
              <w:spacing w:after="0"/>
            </w:pPr>
            <w:r>
              <w:rPr>
                <w:color w:val="475569"/>
                <w:sz w:val="15"/>
                <w:szCs w:val="15"/>
              </w:rPr>
              <w:t xml:space="preserve">Démarrer un conteneur depuis l'image réellement construite, sur des volumes vierges, et vérifier dans SON journal et par SES réponses HTTP que l'installation aboutit — au lieu de le déduire du code source, qui ne dit rien de ce que l'image contient.</w:t>
            </w:r>
          </w:p>
        </w:tc>
        <w:tc>
          <w:tcPr>
            <w:tcW w:type="pct" w:w="45%"/>
            <w:tcMar>
              <w:top w:type="dxa" w:w="80"/>
              <w:left w:type="dxa" w:w="110"/>
              <w:bottom w:type="dxa" w:w="80"/>
              <w:right w:type="dxa" w:w="110"/>
            </w:tcMar>
          </w:tcPr>
          <w:p>
            <w:pPr>
              <w:spacing w:after="0"/>
            </w:pPr>
            <w:r>
              <w:rPr>
                <w:sz w:val="17"/>
                <w:szCs w:val="17"/>
              </w:rPr>
              <w:t xml:space="preserve">image filum:latest démarrée sur volumes vierges, conteneur SAIN ; migrations appliquées, chaîne de piste d'audit intacte, organisation, programme, compte administrateur et bibliothèque de normes créés ; version 1.2.1 annoncée au journal ET portée par /app/VERSION ; police et profil ICC des copies d'archivage présents dans l'image ; /login répond 200 ; une route protégée rend l'écran de connexion (10431 octets) sans divulguer ni le nom de l'organisation ni celui du programme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9010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OQ-30</w:t>
            </w:r>
          </w:p>
          <w:p>
            <w:pPr>
              <w:spacing w:after="0"/>
            </w:pPr>
            <w:r>
              <w:rPr>
                <w:color w:val="475569"/>
                <w:sz w:val="15"/>
                <w:szCs w:val="15"/>
              </w:rPr>
              <w:t xml:space="preserve">URS-33</w:t>
            </w:r>
          </w:p>
        </w:tc>
        <w:tc>
          <w:tcPr>
            <w:tcW w:type="pct" w:w="30%"/>
            <w:tcMar>
              <w:top w:type="dxa" w:w="80"/>
              <w:left w:type="dxa" w:w="110"/>
              <w:bottom w:type="dxa" w:w="80"/>
              <w:right w:type="dxa" w:w="110"/>
            </w:tcMar>
          </w:tcPr>
          <w:p>
            <w:pPr>
              <w:spacing w:after="50"/>
            </w:pPr>
            <w:r>
              <w:rPr>
                <w:b/>
                <w:bCs/>
                <w:sz w:val="17"/>
                <w:szCs w:val="17"/>
              </w:rPr>
              <w:t xml:space="preserve">Piste d'audit bilingue — rendu, vocabulaire, données, et empreinte du message</w:t>
            </w:r>
          </w:p>
          <w:p>
            <w:pPr>
              <w:spacing w:after="0"/>
            </w:pPr>
            <w:r>
              <w:rPr>
                <w:color w:val="475569"/>
                <w:sz w:val="15"/>
                <w:szCs w:val="15"/>
              </w:rPr>
              <w:t xml:space="preserve">Vérifier que le catalogue est complet dans les deux langues, qu'une entrée écrite par l'application se relit en français et en anglais, que le vocabulaire du logiciel suit la langue pendant que la donnée saisie reste intacte, que la clé et les arguments sont couverts par l'empreinte, et que les entrées antérieures gardent la leur.</w:t>
            </w:r>
          </w:p>
        </w:tc>
        <w:tc>
          <w:tcPr>
            <w:tcW w:type="pct" w:w="45%"/>
            <w:tcMar>
              <w:top w:type="dxa" w:w="80"/>
              <w:left w:type="dxa" w:w="110"/>
              <w:bottom w:type="dxa" w:w="80"/>
              <w:right w:type="dxa" w:w="110"/>
            </w:tcMar>
          </w:tcPr>
          <w:p>
            <w:pPr>
              <w:spacing w:after="0"/>
            </w:pPr>
            <w:r>
              <w:rPr>
                <w:sz w:val="17"/>
                <w:szCs w:val="17"/>
              </w:rPr>
              <w:t xml:space="preserve">187 messages du catalogue complets dans les deux langues et à variables identiques ; entrée écrite par le point de passage relue « SPEC-OQ30 : En attente → Justifié — justification : ess… » et « SPEC-OQ30: Pending → Justified — justification: essai d… » ; le statut suit la langue, le motif saisi est restitué à l'identique dans les deux ; réécriture des arguments et changement de clé détectés au rang 64, chaîne rétablie après remise en état ; une entrée sans message se sérialise sur 9 champs comme avant, 11 avec, miroir de console identique sur les deux formes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OQ-31</w:t>
            </w:r>
          </w:p>
          <w:p>
            <w:pPr>
              <w:spacing w:after="0"/>
            </w:pPr>
            <w:r>
              <w:rPr>
                <w:color w:val="475569"/>
                <w:sz w:val="15"/>
                <w:szCs w:val="15"/>
              </w:rPr>
              <w:t xml:space="preserve">URS-34</w:t>
            </w:r>
          </w:p>
        </w:tc>
        <w:tc>
          <w:tcPr>
            <w:tcW w:type="pct" w:w="30%"/>
            <w:tcMar>
              <w:top w:type="dxa" w:w="80"/>
              <w:left w:type="dxa" w:w="110"/>
              <w:bottom w:type="dxa" w:w="80"/>
              <w:right w:type="dxa" w:w="110"/>
            </w:tcMar>
          </w:tcPr>
          <w:p>
            <w:pPr>
              <w:spacing w:after="50"/>
            </w:pPr>
            <w:r>
              <w:rPr>
                <w:b/>
                <w:bCs/>
                <w:sz w:val="17"/>
                <w:szCs w:val="17"/>
              </w:rPr>
              <w:t xml:space="preserve">Copie d'archivage PDF/A — structure, ressources embarquées, et texte relisible</w:t>
            </w:r>
          </w:p>
          <w:p>
            <w:pPr>
              <w:spacing w:after="0"/>
            </w:pPr>
            <w:r>
              <w:rPr>
                <w:color w:val="475569"/>
                <w:sz w:val="15"/>
                <w:szCs w:val="15"/>
              </w:rPr>
              <w:t xml:space="preserve">Vérifier qu'un enregistrement figé produit une copie PDF/A-2b dont la police et le profil colorimétrique sont embarqués, dont les métadonnées déclarent la conformité visée, dont la table de références croisées pointe les vraies positions, et dont le texte se retraduit intégralement en caractères — accents compris.</w:t>
            </w:r>
          </w:p>
        </w:tc>
        <w:tc>
          <w:tcPr>
            <w:tcW w:type="pct" w:w="45%"/>
            <w:tcMar>
              <w:top w:type="dxa" w:w="80"/>
              <w:left w:type="dxa" w:w="110"/>
              <w:bottom w:type="dxa" w:w="80"/>
              <w:right w:type="dxa" w:w="110"/>
            </w:tcMar>
          </w:tcPr>
          <w:p>
            <w:pPr>
              <w:spacing w:after="0"/>
            </w:pPr>
            <w:r>
              <w:rPr>
                <w:sz w:val="17"/>
                <w:szCs w:val="17"/>
              </w:rPr>
              <w:t xml:space="preserve">copie d'archivage de OQ-012-revision rév. 001 produite (69081 octets, 1 page·s) ; 29 contrôles structurels PDF/A-2b passés — police embarquée, profil ICC « acsp » de 3024 octets, métadonnées pdfaid partie 2 niveau B, décalages exacts ; texte intégralement relu par la table du fichier, 44 caractère·s accentué·s ou typographiques restitués ; production déterministe (deux exécutions octet pour octet identiques)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OQ-32</w:t>
            </w:r>
          </w:p>
          <w:p>
            <w:pPr>
              <w:spacing w:after="0"/>
            </w:pPr>
            <w:r>
              <w:rPr>
                <w:color w:val="475569"/>
                <w:sz w:val="15"/>
                <w:szCs w:val="15"/>
              </w:rPr>
              <w:t xml:space="preserve">URS-35</w:t>
            </w:r>
          </w:p>
        </w:tc>
        <w:tc>
          <w:tcPr>
            <w:tcW w:type="pct" w:w="30%"/>
            <w:tcMar>
              <w:top w:type="dxa" w:w="80"/>
              <w:left w:type="dxa" w:w="110"/>
              <w:bottom w:type="dxa" w:w="80"/>
              <w:right w:type="dxa" w:w="110"/>
            </w:tcMar>
          </w:tcPr>
          <w:p>
            <w:pPr>
              <w:spacing w:after="50"/>
            </w:pPr>
            <w:r>
              <w:rPr>
                <w:b/>
                <w:bCs/>
                <w:sz w:val="17"/>
                <w:szCs w:val="17"/>
              </w:rPr>
              <w:t xml:space="preserve">Couverture des revues de piste : contiguë par rang, figée à l'ouverture, sans revue concurrente</w:t>
            </w:r>
          </w:p>
          <w:p>
            <w:pPr>
              <w:spacing w:after="0"/>
            </w:pPr>
            <w:r>
              <w:rPr>
                <w:color w:val="475569"/>
                <w:sz w:val="15"/>
                <w:szCs w:val="15"/>
              </w:rPr>
              <w:t xml:space="preserve">Vérifier qu'une revue fige sa fenêtre à l'ouverture — les entrées écrites pendant qu'elle est ouverte, y compris celles qu'elle produit elle-même, tombent dans la suivante —, qu'aucune seconde revue ne peut être ouverte en parallèle, qu'une fenêtre vide est refusée, et que deux revues successives ne laissent ni lacune ni recouvrement.</w:t>
            </w:r>
          </w:p>
        </w:tc>
        <w:tc>
          <w:tcPr>
            <w:tcW w:type="pct" w:w="45%"/>
            <w:tcMar>
              <w:top w:type="dxa" w:w="80"/>
              <w:left w:type="dxa" w:w="110"/>
              <w:bottom w:type="dxa" w:w="80"/>
              <w:right w:type="dxa" w:w="110"/>
            </w:tcMar>
          </w:tcPr>
          <w:p>
            <w:pPr>
              <w:spacing w:after="0"/>
            </w:pPr>
            <w:r>
              <w:rPr>
                <w:sz w:val="17"/>
                <w:szCs w:val="17"/>
              </w:rPr>
              <w:t xml:space="preserve">fenêtres successives 1-67 puis 68-70 : contiguës, sans recouvrement ni lacune ; ouverture concurrente refusée (« dejaOuverte ») ; l'entrée écrite PENDANT la première revue est tombée dans la seconde fenêtre, la fenêtre figée n'ayant pas bougé ; couverture atteinte au rang 74 sur 76, 0 lacune ; aucune rupture ajoutée à la chaîne sur 75 entrées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148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OQ-33</w:t>
            </w:r>
          </w:p>
          <w:p>
            <w:pPr>
              <w:spacing w:after="0"/>
            </w:pPr>
            <w:r>
              <w:rPr>
                <w:color w:val="475569"/>
                <w:sz w:val="15"/>
                <w:szCs w:val="15"/>
              </w:rPr>
              <w:t xml:space="preserve">URS-36</w:t>
            </w:r>
          </w:p>
        </w:tc>
        <w:tc>
          <w:tcPr>
            <w:tcW w:type="pct" w:w="30%"/>
            <w:tcMar>
              <w:top w:type="dxa" w:w="80"/>
              <w:left w:type="dxa" w:w="110"/>
              <w:bottom w:type="dxa" w:w="80"/>
              <w:right w:type="dxa" w:w="110"/>
            </w:tcMar>
          </w:tcPr>
          <w:p>
            <w:pPr>
              <w:spacing w:after="50"/>
            </w:pPr>
            <w:r>
              <w:rPr>
                <w:b/>
                <w:bCs/>
                <w:sz w:val="17"/>
                <w:szCs w:val="17"/>
              </w:rPr>
              <w:t xml:space="preserve">Clôture d'une revue : signature liée à l'empreinte du contenu revu, impossible sur des lignes non statuées</w:t>
            </w:r>
          </w:p>
          <w:p>
            <w:pPr>
              <w:spacing w:after="0"/>
            </w:pPr>
            <w:r>
              <w:rPr>
                <w:color w:val="475569"/>
                <w:sz w:val="15"/>
                <w:szCs w:val="15"/>
              </w:rPr>
              <w:t xml:space="preserve">Vérifier qu'une revue refuse de se clore tant qu'une entrée retenue n'est pas statuée ou que la conclusion est vide, qu'un verdict affirmatif exige son motif, que la clôture produit une manifestation portant le nom imprimé, la signification « Revu » et l'empreinte du contenu, que cette empreinte se recalcule à l'identique hors du logiciel et change au moindre changement de contenu, que l'indépendance est mesurée sur le SIGNATAIRE, et qu'une revue close ne se rouvre pas.</w:t>
            </w:r>
          </w:p>
        </w:tc>
        <w:tc>
          <w:tcPr>
            <w:tcW w:type="pct" w:w="45%"/>
            <w:tcMar>
              <w:top w:type="dxa" w:w="80"/>
              <w:left w:type="dxa" w:w="110"/>
              <w:bottom w:type="dxa" w:w="80"/>
              <w:right w:type="dxa" w:w="110"/>
            </w:tcMar>
          </w:tcPr>
          <w:p>
            <w:pPr>
              <w:spacing w:after="0"/>
            </w:pPr>
            <w:r>
              <w:rPr>
                <w:sz w:val="17"/>
                <w:szCs w:val="17"/>
              </w:rPr>
              <w:t xml:space="preserve">clôture refusée trois fois avant d'être permise — conclusion vide, 1 entrée(s) non statuée(s), verdict affirmatif sans motif ; manifestation « Testeur QR2 (QR2) · Revu · 06/08/2026 19:52:45 UTC · enregistrement B6FE 0DDE 145A » portant le nom imprimé, la signification « Revu » et l'empreinte du contenu ; empreinte recalculée à l'identique hors du logiciel, et modifiée par le moindre changement de conclusion ou de verdict ; indépendance consignée sur le SIGNATAIRE (0 entrée·s écrite·s par lui, contre 5 par l'ouvreur) ; 10 règles de triage inscrites dans l'enregistrement ; re-clôture et re-statuage refusés ; aucune rupture ajoutée à la chaîne sur 82 entrées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110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OQ-34</w:t>
            </w:r>
          </w:p>
          <w:p>
            <w:pPr>
              <w:spacing w:after="0"/>
            </w:pPr>
            <w:r>
              <w:rPr>
                <w:color w:val="475569"/>
                <w:sz w:val="15"/>
                <w:szCs w:val="15"/>
              </w:rPr>
              <w:t xml:space="preserve">URS-37</w:t>
            </w:r>
          </w:p>
        </w:tc>
        <w:tc>
          <w:tcPr>
            <w:tcW w:type="pct" w:w="30%"/>
            <w:tcMar>
              <w:top w:type="dxa" w:w="80"/>
              <w:left w:type="dxa" w:w="110"/>
              <w:bottom w:type="dxa" w:w="80"/>
              <w:right w:type="dxa" w:w="110"/>
            </w:tcMar>
          </w:tcPr>
          <w:p>
            <w:pPr>
              <w:spacing w:after="50"/>
            </w:pPr>
            <w:r>
              <w:rPr>
                <w:b/>
                <w:bCs/>
                <w:sz w:val="17"/>
                <w:szCs w:val="17"/>
              </w:rPr>
              <w:t xml:space="preserve">Qualité d'énoncé : déterministe, sans réseau, sans écriture, sans blocage</w:t>
            </w:r>
          </w:p>
          <w:p>
            <w:pPr>
              <w:spacing w:after="0"/>
            </w:pPr>
            <w:r>
              <w:rPr>
                <w:color w:val="475569"/>
                <w:sz w:val="15"/>
                <w:szCs w:val="15"/>
              </w:rPr>
              <w:t xml:space="preserve">Vérifier que les contrôles rendent le même verdict pour le même énoncé, qu'ils citent le fragment fautif tel qu'il a été écrit, qu'ils reconnaissent les motifs EARS, qu'ils ne crient pas sur des énoncés corrects — références normatives et numéros de programme compris — et que rien dans le module n'écrit en base, n'appelle le réseau, ni ne peut empêcher un enregistrement.</w:t>
            </w:r>
          </w:p>
        </w:tc>
        <w:tc>
          <w:tcPr>
            <w:tcW w:type="pct" w:w="45%"/>
            <w:tcMar>
              <w:top w:type="dxa" w:w="80"/>
              <w:left w:type="dxa" w:w="110"/>
              <w:bottom w:type="dxa" w:w="80"/>
              <w:right w:type="dxa" w:w="110"/>
            </w:tcMar>
          </w:tcPr>
          <w:p>
            <w:pPr>
              <w:spacing w:after="0"/>
            </w:pPr>
            <w:r>
              <w:rPr>
                <w:sz w:val="17"/>
                <w:szCs w:val="17"/>
              </w:rPr>
              <w:t xml:space="preserve">11 règles déterministes éprouvées sur 11 énoncés fautifs : chacune s'est déclenchée et a cité le fragment exact de l'auteur ; aucun constat sur 5 énoncés corrects, références normatives (ISO 14971, CEI 60601-1) et numéro de programme (OD-300) compris ; 5 motifs EARS reconnus sur 7 énoncés dans les deux langues, et aucun motif rendu sur une phrase sans verbe d'obligation ; 16 analyses rejouées à l'identique (déterminisme) ; le module ne référence ni base, ni réseau, ni module serveur, et la création d'exigence ne le consulte pas — aucun constat ne peut donc empêcher un enregistrement</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8 ms</w:t>
            </w:r>
          </w:p>
        </w:tc>
      </w:tr>
    </w:tbl>
    <w:p>
      <w:pPr>
        <w:pStyle w:val="Heading1"/>
        <w:spacing w:after="140" w:before="320"/>
      </w:pPr>
      <w:r>
        <w:t xml:space="preserve">6. Matrice de traçabilité</w:t>
      </w:r>
    </w:p>
    <w:p>
      <w:pPr>
        <w:spacing w:after="140"/>
      </w:pPr>
      <w:r>
        <w:rPr>
          <w:sz w:val="20"/>
          <w:szCs w:val="20"/>
        </w:rPr>
        <w:t xml:space="preserve">Chaque exigence est reliée au cas qui la vérifie, ou porte la mention du report en qualification de performance. Une exigence sans cas ni report serait une exigence non vérifiée : il n'y en a aucune.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2%"/>
            <w:shd w:fill="E0E7FF"/>
            <w:tcMar>
              <w:top w:type="dxa" w:w="80"/>
              <w:left w:type="dxa" w:w="110"/>
              <w:bottom w:type="dxa" w:w="80"/>
              <w:right w:type="dxa" w:w="110"/>
            </w:tcMar>
          </w:tcPr>
          <w:p>
            <w:pPr>
              <w:spacing w:after="0"/>
            </w:pPr>
            <w:r>
              <w:rPr>
                <w:b/>
                <w:bCs/>
                <w:sz w:val="17"/>
                <w:szCs w:val="17"/>
              </w:rPr>
              <w:t xml:space="preserve">Exigence</w:t>
            </w:r>
          </w:p>
        </w:tc>
        <w:tc>
          <w:tcPr>
            <w:tcW w:type="pct" w:w="22%"/>
            <w:shd w:fill="E0E7FF"/>
            <w:tcMar>
              <w:top w:type="dxa" w:w="80"/>
              <w:left w:type="dxa" w:w="110"/>
              <w:bottom w:type="dxa" w:w="80"/>
              <w:right w:type="dxa" w:w="110"/>
            </w:tcMar>
          </w:tcPr>
          <w:p>
            <w:pPr>
              <w:spacing w:after="0"/>
            </w:pPr>
            <w:r>
              <w:rPr>
                <w:b/>
                <w:bCs/>
                <w:sz w:val="17"/>
                <w:szCs w:val="17"/>
              </w:rPr>
              <w:t xml:space="preserve">Vérifiée par</w:t>
            </w:r>
          </w:p>
        </w:tc>
        <w:tc>
          <w:tcPr>
            <w:tcW w:type="pct" w:w="66%"/>
            <w:shd w:fill="E0E7FF"/>
            <w:tcMar>
              <w:top w:type="dxa" w:w="80"/>
              <w:left w:type="dxa" w:w="110"/>
              <w:bottom w:type="dxa" w:w="80"/>
              <w:right w:type="dxa" w:w="110"/>
            </w:tcMar>
          </w:tcPr>
          <w:p>
            <w:pPr>
              <w:spacing w:after="0"/>
            </w:pPr>
            <w:r>
              <w:rPr>
                <w:b/>
                <w:bCs/>
                <w:sz w:val="17"/>
                <w:szCs w:val="17"/>
              </w:rPr>
              <w:t xml:space="preserve">Nature de la preuve</w:t>
            </w:r>
          </w:p>
        </w:tc>
      </w:tr>
      <w:tr>
        <w:tc>
          <w:tcPr>
            <w:tcW w:type="pct" w:w="12%"/>
            <w:tcMar>
              <w:top w:type="dxa" w:w="80"/>
              <w:left w:type="dxa" w:w="110"/>
              <w:bottom w:type="dxa" w:w="80"/>
              <w:right w:type="dxa" w:w="110"/>
            </w:tcMar>
          </w:tcPr>
          <w:p>
            <w:pPr>
              <w:spacing w:after="0"/>
            </w:pPr>
            <w:r>
              <w:rPr>
                <w:b/>
                <w:bCs/>
                <w:color w:val="4338CA"/>
                <w:sz w:val="17"/>
                <w:szCs w:val="17"/>
              </w:rPr>
              <w:t xml:space="preserve">URS-01</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Depuis une fenêtre de navigation privée, appeler une page et une route d'export sans se connecter : les deux doivent refuser.</w:t>
            </w:r>
          </w:p>
        </w:tc>
      </w:tr>
      <w:tr>
        <w:tc>
          <w:tcPr>
            <w:tcW w:type="pct" w:w="12%"/>
            <w:tcMar>
              <w:top w:type="dxa" w:w="80"/>
              <w:left w:type="dxa" w:w="110"/>
              <w:bottom w:type="dxa" w:w="80"/>
              <w:right w:type="dxa" w:w="110"/>
            </w:tcMar>
          </w:tcPr>
          <w:p>
            <w:pPr>
              <w:spacing w:after="0"/>
            </w:pPr>
            <w:r>
              <w:rPr>
                <w:b/>
                <w:bCs/>
                <w:color w:val="4338CA"/>
                <w:sz w:val="17"/>
                <w:szCs w:val="17"/>
              </w:rPr>
              <w:t xml:space="preserve">URS-02</w:t>
            </w:r>
          </w:p>
        </w:tc>
        <w:tc>
          <w:tcPr>
            <w:tcW w:type="pct" w:w="22%"/>
            <w:tcMar>
              <w:top w:type="dxa" w:w="80"/>
              <w:left w:type="dxa" w:w="110"/>
              <w:bottom w:type="dxa" w:w="80"/>
              <w:right w:type="dxa" w:w="110"/>
            </w:tcMar>
          </w:tcPr>
          <w:p>
            <w:pPr>
              <w:spacing w:after="0"/>
            </w:pPr>
            <w:r>
              <w:rPr>
                <w:b/>
                <w:bCs/>
                <w:color w:val="047857"/>
                <w:sz w:val="17"/>
                <w:szCs w:val="17"/>
              </w:rPr>
              <w:t xml:space="preserve">OQ-01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URS-03</w:t>
            </w:r>
          </w:p>
        </w:tc>
        <w:tc>
          <w:tcPr>
            <w:tcW w:type="pct" w:w="22%"/>
            <w:tcMar>
              <w:top w:type="dxa" w:w="80"/>
              <w:left w:type="dxa" w:w="110"/>
              <w:bottom w:type="dxa" w:w="80"/>
              <w:right w:type="dxa" w:w="110"/>
            </w:tcMar>
          </w:tcPr>
          <w:p>
            <w:pPr>
              <w:spacing w:after="0"/>
            </w:pPr>
            <w:r>
              <w:rPr>
                <w:b/>
                <w:bCs/>
                <w:color w:val="047857"/>
                <w:sz w:val="17"/>
                <w:szCs w:val="17"/>
              </w:rPr>
              <w:t xml:space="preserve">OQ-11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URS-04</w:t>
            </w:r>
          </w:p>
        </w:tc>
        <w:tc>
          <w:tcPr>
            <w:tcW w:type="pct" w:w="22%"/>
            <w:tcMar>
              <w:top w:type="dxa" w:w="80"/>
              <w:left w:type="dxa" w:w="110"/>
              <w:bottom w:type="dxa" w:w="80"/>
              <w:right w:type="dxa" w:w="110"/>
            </w:tcMar>
          </w:tcPr>
          <w:p>
            <w:pPr>
              <w:spacing w:after="0"/>
            </w:pPr>
            <w:r>
              <w:rPr>
                <w:b/>
                <w:bCs/>
                <w:color w:val="047857"/>
                <w:sz w:val="17"/>
                <w:szCs w:val="17"/>
              </w:rPr>
              <w:t xml:space="preserve">OQ-12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URS-05</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Ouvrir le panneau de signature d'un document en revue : le champ mot de passe est obligatoire. Saisir un mot de passe faux : la signature est refusée et l'échec journalisé.</w:t>
            </w:r>
          </w:p>
        </w:tc>
      </w:tr>
      <w:tr>
        <w:tc>
          <w:tcPr>
            <w:tcW w:type="pct" w:w="12%"/>
            <w:tcMar>
              <w:top w:type="dxa" w:w="80"/>
              <w:left w:type="dxa" w:w="110"/>
              <w:bottom w:type="dxa" w:w="80"/>
              <w:right w:type="dxa" w:w="110"/>
            </w:tcMar>
          </w:tcPr>
          <w:p>
            <w:pPr>
              <w:spacing w:after="0"/>
            </w:pPr>
            <w:r>
              <w:rPr>
                <w:b/>
                <w:bCs/>
                <w:color w:val="4338CA"/>
                <w:sz w:val="17"/>
                <w:szCs w:val="17"/>
              </w:rPr>
              <w:t xml:space="preserve">URS-06</w:t>
            </w:r>
          </w:p>
        </w:tc>
        <w:tc>
          <w:tcPr>
            <w:tcW w:type="pct" w:w="22%"/>
            <w:tcMar>
              <w:top w:type="dxa" w:w="80"/>
              <w:left w:type="dxa" w:w="110"/>
              <w:bottom w:type="dxa" w:w="80"/>
              <w:right w:type="dxa" w:w="110"/>
            </w:tcMar>
          </w:tcPr>
          <w:p>
            <w:pPr>
              <w:spacing w:after="0"/>
            </w:pPr>
            <w:r>
              <w:rPr>
                <w:b/>
                <w:bCs/>
                <w:color w:val="047857"/>
                <w:sz w:val="17"/>
                <w:szCs w:val="17"/>
              </w:rPr>
              <w:t xml:space="preserve">OQ-02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URS-07</w:t>
            </w:r>
          </w:p>
        </w:tc>
        <w:tc>
          <w:tcPr>
            <w:tcW w:type="pct" w:w="22%"/>
            <w:tcMar>
              <w:top w:type="dxa" w:w="80"/>
              <w:left w:type="dxa" w:w="110"/>
              <w:bottom w:type="dxa" w:w="80"/>
              <w:right w:type="dxa" w:w="110"/>
            </w:tcMar>
          </w:tcPr>
          <w:p>
            <w:pPr>
              <w:spacing w:after="0"/>
            </w:pPr>
            <w:r>
              <w:rPr>
                <w:b/>
                <w:bCs/>
                <w:color w:val="047857"/>
                <w:sz w:val="17"/>
                <w:szCs w:val="17"/>
              </w:rPr>
              <w:t xml:space="preserve">OQ-03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URS-08</w:t>
            </w:r>
          </w:p>
        </w:tc>
        <w:tc>
          <w:tcPr>
            <w:tcW w:type="pct" w:w="22%"/>
            <w:tcMar>
              <w:top w:type="dxa" w:w="80"/>
              <w:left w:type="dxa" w:w="110"/>
              <w:bottom w:type="dxa" w:w="80"/>
              <w:right w:type="dxa" w:w="110"/>
            </w:tcMar>
          </w:tcPr>
          <w:p>
            <w:pPr>
              <w:spacing w:after="0"/>
            </w:pPr>
            <w:r>
              <w:rPr>
                <w:b/>
                <w:bCs/>
                <w:color w:val="047857"/>
                <w:sz w:val="17"/>
                <w:szCs w:val="17"/>
              </w:rPr>
              <w:t xml:space="preserve">OQ-05</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URS-09</w:t>
            </w:r>
          </w:p>
        </w:tc>
        <w:tc>
          <w:tcPr>
            <w:tcW w:type="pct" w:w="22%"/>
            <w:tcMar>
              <w:top w:type="dxa" w:w="80"/>
              <w:left w:type="dxa" w:w="110"/>
              <w:bottom w:type="dxa" w:w="80"/>
              <w:right w:type="dxa" w:w="110"/>
            </w:tcMar>
          </w:tcPr>
          <w:p>
            <w:pPr>
              <w:spacing w:after="0"/>
            </w:pPr>
            <w:r>
              <w:rPr>
                <w:b/>
                <w:bCs/>
                <w:color w:val="047857"/>
                <w:sz w:val="17"/>
                <w:szCs w:val="17"/>
              </w:rPr>
              <w:t xml:space="preserve">OQ-04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URS-10</w:t>
            </w:r>
          </w:p>
        </w:tc>
        <w:tc>
          <w:tcPr>
            <w:tcW w:type="pct" w:w="22%"/>
            <w:tcMar>
              <w:top w:type="dxa" w:w="80"/>
              <w:left w:type="dxa" w:w="110"/>
              <w:bottom w:type="dxa" w:w="80"/>
              <w:right w:type="dxa" w:w="110"/>
            </w:tcMar>
          </w:tcPr>
          <w:p>
            <w:pPr>
              <w:spacing w:after="0"/>
            </w:pPr>
            <w:r>
              <w:rPr>
                <w:b/>
                <w:bCs/>
                <w:color w:val="047857"/>
                <w:sz w:val="17"/>
                <w:szCs w:val="17"/>
              </w:rPr>
              <w:t xml:space="preserve">OQ-06</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URS-11</w:t>
            </w:r>
          </w:p>
        </w:tc>
        <w:tc>
          <w:tcPr>
            <w:tcW w:type="pct" w:w="22%"/>
            <w:tcMar>
              <w:top w:type="dxa" w:w="80"/>
              <w:left w:type="dxa" w:w="110"/>
              <w:bottom w:type="dxa" w:w="80"/>
              <w:right w:type="dxa" w:w="110"/>
            </w:tcMar>
          </w:tcPr>
          <w:p>
            <w:pPr>
              <w:spacing w:after="0"/>
            </w:pPr>
            <w:r>
              <w:rPr>
                <w:b/>
                <w:bCs/>
                <w:color w:val="047857"/>
                <w:sz w:val="17"/>
                <w:szCs w:val="17"/>
              </w:rPr>
              <w:t xml:space="preserve">OQ-07</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URS-12</w:t>
            </w:r>
          </w:p>
        </w:tc>
        <w:tc>
          <w:tcPr>
            <w:tcW w:type="pct" w:w="22%"/>
            <w:tcMar>
              <w:top w:type="dxa" w:w="80"/>
              <w:left w:type="dxa" w:w="110"/>
              <w:bottom w:type="dxa" w:w="80"/>
              <w:right w:type="dxa" w:w="110"/>
            </w:tcMar>
          </w:tcPr>
          <w:p>
            <w:pPr>
              <w:spacing w:after="0"/>
            </w:pPr>
            <w:r>
              <w:rPr>
                <w:b/>
                <w:bCs/>
                <w:color w:val="047857"/>
                <w:sz w:val="17"/>
                <w:szCs w:val="17"/>
              </w:rPr>
              <w:t xml:space="preserve">OQ-08</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URS-13</w:t>
            </w:r>
          </w:p>
        </w:tc>
        <w:tc>
          <w:tcPr>
            <w:tcW w:type="pct" w:w="22%"/>
            <w:tcMar>
              <w:top w:type="dxa" w:w="80"/>
              <w:left w:type="dxa" w:w="110"/>
              <w:bottom w:type="dxa" w:w="80"/>
              <w:right w:type="dxa" w:w="110"/>
            </w:tcMar>
          </w:tcPr>
          <w:p>
            <w:pPr>
              <w:spacing w:after="0"/>
            </w:pPr>
            <w:r>
              <w:rPr>
                <w:b/>
                <w:bCs/>
                <w:color w:val="047857"/>
                <w:sz w:val="17"/>
                <w:szCs w:val="17"/>
              </w:rPr>
              <w:t xml:space="preserve">OQ-09</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URS-14</w:t>
            </w:r>
          </w:p>
        </w:tc>
        <w:tc>
          <w:tcPr>
            <w:tcW w:type="pct" w:w="22%"/>
            <w:tcMar>
              <w:top w:type="dxa" w:w="80"/>
              <w:left w:type="dxa" w:w="110"/>
              <w:bottom w:type="dxa" w:w="80"/>
              <w:right w:type="dxa" w:w="110"/>
            </w:tcMar>
          </w:tcPr>
          <w:p>
            <w:pPr>
              <w:spacing w:after="0"/>
            </w:pPr>
            <w:r>
              <w:rPr>
                <w:b/>
                <w:bCs/>
                <w:color w:val="047857"/>
                <w:sz w:val="17"/>
                <w:szCs w:val="17"/>
              </w:rPr>
              <w:t xml:space="preserve">OQ-10</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URS-15</w:t>
            </w:r>
          </w:p>
        </w:tc>
        <w:tc>
          <w:tcPr>
            <w:tcW w:type="pct" w:w="22%"/>
            <w:tcMar>
              <w:top w:type="dxa" w:w="80"/>
              <w:left w:type="dxa" w:w="110"/>
              <w:bottom w:type="dxa" w:w="80"/>
              <w:right w:type="dxa" w:w="110"/>
            </w:tcMar>
          </w:tcPr>
          <w:p>
            <w:pPr>
              <w:spacing w:after="0"/>
            </w:pPr>
            <w:r>
              <w:rPr>
                <w:b/>
                <w:bCs/>
                <w:color w:val="047857"/>
                <w:sz w:val="17"/>
                <w:szCs w:val="17"/>
              </w:rPr>
              <w:t xml:space="preserve">OQ-16</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URS-16</w:t>
            </w:r>
          </w:p>
        </w:tc>
        <w:tc>
          <w:tcPr>
            <w:tcW w:type="pct" w:w="22%"/>
            <w:tcMar>
              <w:top w:type="dxa" w:w="80"/>
              <w:left w:type="dxa" w:w="110"/>
              <w:bottom w:type="dxa" w:w="80"/>
              <w:right w:type="dxa" w:w="110"/>
            </w:tcMar>
          </w:tcPr>
          <w:p>
            <w:pPr>
              <w:spacing w:after="0"/>
            </w:pPr>
            <w:r>
              <w:rPr>
                <w:b/>
                <w:bCs/>
                <w:color w:val="047857"/>
                <w:sz w:val="17"/>
                <w:szCs w:val="17"/>
              </w:rPr>
              <w:t xml:space="preserve">OQ-14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URS-17</w:t>
            </w:r>
          </w:p>
        </w:tc>
        <w:tc>
          <w:tcPr>
            <w:tcW w:type="pct" w:w="22%"/>
            <w:tcMar>
              <w:top w:type="dxa" w:w="80"/>
              <w:left w:type="dxa" w:w="110"/>
              <w:bottom w:type="dxa" w:w="80"/>
              <w:right w:type="dxa" w:w="110"/>
            </w:tcMar>
          </w:tcPr>
          <w:p>
            <w:pPr>
              <w:spacing w:after="0"/>
            </w:pPr>
            <w:r>
              <w:rPr>
                <w:b/>
                <w:bCs/>
                <w:color w:val="047857"/>
                <w:sz w:val="17"/>
                <w:szCs w:val="17"/>
              </w:rPr>
              <w:t xml:space="preserve">OQ-15</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URS-18</w:t>
            </w:r>
          </w:p>
        </w:tc>
        <w:tc>
          <w:tcPr>
            <w:tcW w:type="pct" w:w="22%"/>
            <w:tcMar>
              <w:top w:type="dxa" w:w="80"/>
              <w:left w:type="dxa" w:w="110"/>
              <w:bottom w:type="dxa" w:w="80"/>
              <w:right w:type="dxa" w:w="110"/>
            </w:tcMar>
          </w:tcPr>
          <w:p>
            <w:pPr>
              <w:spacing w:after="0"/>
            </w:pPr>
            <w:r>
              <w:rPr>
                <w:b/>
                <w:bCs/>
                <w:color w:val="047857"/>
                <w:sz w:val="17"/>
                <w:szCs w:val="17"/>
              </w:rPr>
              <w:t xml:space="preserve">OQ-13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URS-19</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Ouvrir la même exigence en modification dans deux navigateurs, enregistrer dans le premier, puis dans le second : le second est refusé avec un message explicite et la saisie est conservée.</w:t>
            </w:r>
          </w:p>
        </w:tc>
      </w:tr>
      <w:tr>
        <w:tc>
          <w:tcPr>
            <w:tcW w:type="pct" w:w="12%"/>
            <w:tcMar>
              <w:top w:type="dxa" w:w="80"/>
              <w:left w:type="dxa" w:w="110"/>
              <w:bottom w:type="dxa" w:w="80"/>
              <w:right w:type="dxa" w:w="110"/>
            </w:tcMar>
          </w:tcPr>
          <w:p>
            <w:pPr>
              <w:spacing w:after="0"/>
            </w:pPr>
            <w:r>
              <w:rPr>
                <w:b/>
                <w:bCs/>
                <w:color w:val="4338CA"/>
                <w:sz w:val="17"/>
                <w:szCs w:val="17"/>
              </w:rPr>
              <w:t xml:space="preserve">URS-20</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Lire le numéro de version en pied de barre latérale et le consigner dans le rapport d'installation.</w:t>
            </w:r>
          </w:p>
        </w:tc>
      </w:tr>
      <w:tr>
        <w:tc>
          <w:tcPr>
            <w:tcW w:type="pct" w:w="12%"/>
            <w:tcMar>
              <w:top w:type="dxa" w:w="80"/>
              <w:left w:type="dxa" w:w="110"/>
              <w:bottom w:type="dxa" w:w="80"/>
              <w:right w:type="dxa" w:w="110"/>
            </w:tcMar>
          </w:tcPr>
          <w:p>
            <w:pPr>
              <w:spacing w:after="0"/>
            </w:pPr>
            <w:r>
              <w:rPr>
                <w:b/>
                <w:bCs/>
                <w:color w:val="4338CA"/>
                <w:sz w:val="17"/>
                <w:szCs w:val="17"/>
              </w:rPr>
              <w:t xml:space="preserve">URS-21</w:t>
            </w:r>
          </w:p>
        </w:tc>
        <w:tc>
          <w:tcPr>
            <w:tcW w:type="pct" w:w="22%"/>
            <w:tcMar>
              <w:top w:type="dxa" w:w="80"/>
              <w:left w:type="dxa" w:w="110"/>
              <w:bottom w:type="dxa" w:w="80"/>
              <w:right w:type="dxa" w:w="110"/>
            </w:tcMar>
          </w:tcPr>
          <w:p>
            <w:pPr>
              <w:spacing w:after="0"/>
            </w:pPr>
            <w:r>
              <w:rPr>
                <w:b/>
                <w:bCs/>
                <w:color w:val="047857"/>
                <w:sz w:val="17"/>
                <w:szCs w:val="17"/>
              </w:rPr>
              <w:t xml:space="preserve">OQ-17</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URS-22</w:t>
            </w:r>
          </w:p>
        </w:tc>
        <w:tc>
          <w:tcPr>
            <w:tcW w:type="pct" w:w="22%"/>
            <w:tcMar>
              <w:top w:type="dxa" w:w="80"/>
              <w:left w:type="dxa" w:w="110"/>
              <w:bottom w:type="dxa" w:w="80"/>
              <w:right w:type="dxa" w:w="110"/>
            </w:tcMar>
          </w:tcPr>
          <w:p>
            <w:pPr>
              <w:spacing w:after="0"/>
            </w:pPr>
            <w:r>
              <w:rPr>
                <w:b/>
                <w:bCs/>
                <w:color w:val="047857"/>
                <w:sz w:val="17"/>
                <w:szCs w:val="17"/>
              </w:rPr>
              <w:t xml:space="preserve">OQ-18</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URS-23</w:t>
            </w:r>
          </w:p>
        </w:tc>
        <w:tc>
          <w:tcPr>
            <w:tcW w:type="pct" w:w="22%"/>
            <w:tcMar>
              <w:top w:type="dxa" w:w="80"/>
              <w:left w:type="dxa" w:w="110"/>
              <w:bottom w:type="dxa" w:w="80"/>
              <w:right w:type="dxa" w:w="110"/>
            </w:tcMar>
          </w:tcPr>
          <w:p>
            <w:pPr>
              <w:spacing w:after="0"/>
            </w:pPr>
            <w:r>
              <w:rPr>
                <w:b/>
                <w:bCs/>
                <w:color w:val="047857"/>
                <w:sz w:val="17"/>
                <w:szCs w:val="17"/>
              </w:rPr>
              <w:t xml:space="preserve">OQ-19</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URS-24</w:t>
            </w:r>
          </w:p>
        </w:tc>
        <w:tc>
          <w:tcPr>
            <w:tcW w:type="pct" w:w="22%"/>
            <w:tcMar>
              <w:top w:type="dxa" w:w="80"/>
              <w:left w:type="dxa" w:w="110"/>
              <w:bottom w:type="dxa" w:w="80"/>
              <w:right w:type="dxa" w:w="110"/>
            </w:tcMar>
          </w:tcPr>
          <w:p>
            <w:pPr>
              <w:spacing w:after="0"/>
            </w:pPr>
            <w:r>
              <w:rPr>
                <w:b/>
                <w:bCs/>
                <w:color w:val="047857"/>
                <w:sz w:val="17"/>
                <w:szCs w:val="17"/>
              </w:rPr>
              <w:t xml:space="preserve">OQ-20</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URS-25</w:t>
            </w:r>
          </w:p>
        </w:tc>
        <w:tc>
          <w:tcPr>
            <w:tcW w:type="pct" w:w="22%"/>
            <w:tcMar>
              <w:top w:type="dxa" w:w="80"/>
              <w:left w:type="dxa" w:w="110"/>
              <w:bottom w:type="dxa" w:w="80"/>
              <w:right w:type="dxa" w:w="110"/>
            </w:tcMar>
          </w:tcPr>
          <w:p>
            <w:pPr>
              <w:spacing w:after="0"/>
            </w:pPr>
            <w:r>
              <w:rPr>
                <w:b/>
                <w:bCs/>
                <w:color w:val="047857"/>
                <w:sz w:val="17"/>
                <w:szCs w:val="17"/>
              </w:rPr>
              <w:t xml:space="preserve">OQ-21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URS-26</w:t>
            </w:r>
          </w:p>
        </w:tc>
        <w:tc>
          <w:tcPr>
            <w:tcW w:type="pct" w:w="22%"/>
            <w:tcMar>
              <w:top w:type="dxa" w:w="80"/>
              <w:left w:type="dxa" w:w="110"/>
              <w:bottom w:type="dxa" w:w="80"/>
              <w:right w:type="dxa" w:w="110"/>
            </w:tcMar>
          </w:tcPr>
          <w:p>
            <w:pPr>
              <w:spacing w:after="0"/>
            </w:pPr>
            <w:r>
              <w:rPr>
                <w:b/>
                <w:bCs/>
                <w:color w:val="047857"/>
                <w:sz w:val="17"/>
                <w:szCs w:val="17"/>
              </w:rPr>
              <w:t xml:space="preserve">OQ-22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URS-27</w:t>
            </w:r>
          </w:p>
        </w:tc>
        <w:tc>
          <w:tcPr>
            <w:tcW w:type="pct" w:w="22%"/>
            <w:tcMar>
              <w:top w:type="dxa" w:w="80"/>
              <w:left w:type="dxa" w:w="110"/>
              <w:bottom w:type="dxa" w:w="80"/>
              <w:right w:type="dxa" w:w="110"/>
            </w:tcMar>
          </w:tcPr>
          <w:p>
            <w:pPr>
              <w:spacing w:after="0"/>
            </w:pPr>
            <w:r>
              <w:rPr>
                <w:b/>
                <w:bCs/>
                <w:color w:val="047857"/>
                <w:sz w:val="17"/>
                <w:szCs w:val="17"/>
              </w:rPr>
              <w:t xml:space="preserve">OQ-23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URS-28</w:t>
            </w:r>
          </w:p>
        </w:tc>
        <w:tc>
          <w:tcPr>
            <w:tcW w:type="pct" w:w="22%"/>
            <w:tcMar>
              <w:top w:type="dxa" w:w="80"/>
              <w:left w:type="dxa" w:w="110"/>
              <w:bottom w:type="dxa" w:w="80"/>
              <w:right w:type="dxa" w:w="110"/>
            </w:tcMar>
          </w:tcPr>
          <w:p>
            <w:pPr>
              <w:spacing w:after="0"/>
            </w:pPr>
            <w:r>
              <w:rPr>
                <w:b/>
                <w:bCs/>
                <w:color w:val="047857"/>
                <w:sz w:val="17"/>
                <w:szCs w:val="17"/>
              </w:rPr>
              <w:t xml:space="preserve">OQ-24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URS-29</w:t>
            </w:r>
          </w:p>
        </w:tc>
        <w:tc>
          <w:tcPr>
            <w:tcW w:type="pct" w:w="22%"/>
            <w:tcMar>
              <w:top w:type="dxa" w:w="80"/>
              <w:left w:type="dxa" w:w="110"/>
              <w:bottom w:type="dxa" w:w="80"/>
              <w:right w:type="dxa" w:w="110"/>
            </w:tcMar>
          </w:tcPr>
          <w:p>
            <w:pPr>
              <w:spacing w:after="0"/>
            </w:pPr>
            <w:r>
              <w:rPr>
                <w:b/>
                <w:bCs/>
                <w:color w:val="047857"/>
                <w:sz w:val="17"/>
                <w:szCs w:val="17"/>
              </w:rPr>
              <w:t xml:space="preserve">OQ-25</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URS-30</w:t>
            </w:r>
          </w:p>
        </w:tc>
        <w:tc>
          <w:tcPr>
            <w:tcW w:type="pct" w:w="22%"/>
            <w:tcMar>
              <w:top w:type="dxa" w:w="80"/>
              <w:left w:type="dxa" w:w="110"/>
              <w:bottom w:type="dxa" w:w="80"/>
              <w:right w:type="dxa" w:w="110"/>
            </w:tcMar>
          </w:tcPr>
          <w:p>
            <w:pPr>
              <w:spacing w:after="0"/>
            </w:pPr>
            <w:r>
              <w:rPr>
                <w:b/>
                <w:bCs/>
                <w:color w:val="047857"/>
                <w:sz w:val="17"/>
                <w:szCs w:val="17"/>
              </w:rPr>
              <w:t xml:space="preserve">OQ-26</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URS-31</w:t>
            </w:r>
          </w:p>
        </w:tc>
        <w:tc>
          <w:tcPr>
            <w:tcW w:type="pct" w:w="22%"/>
            <w:tcMar>
              <w:top w:type="dxa" w:w="80"/>
              <w:left w:type="dxa" w:w="110"/>
              <w:bottom w:type="dxa" w:w="80"/>
              <w:right w:type="dxa" w:w="110"/>
            </w:tcMar>
          </w:tcPr>
          <w:p>
            <w:pPr>
              <w:spacing w:after="0"/>
            </w:pPr>
            <w:r>
              <w:rPr>
                <w:b/>
                <w:bCs/>
                <w:color w:val="047857"/>
                <w:sz w:val="17"/>
                <w:szCs w:val="17"/>
              </w:rPr>
              <w:t xml:space="preserve">OQ-27, OQ-28</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URS-32</w:t>
            </w:r>
          </w:p>
        </w:tc>
        <w:tc>
          <w:tcPr>
            <w:tcW w:type="pct" w:w="22%"/>
            <w:tcMar>
              <w:top w:type="dxa" w:w="80"/>
              <w:left w:type="dxa" w:w="110"/>
              <w:bottom w:type="dxa" w:w="80"/>
              <w:right w:type="dxa" w:w="110"/>
            </w:tcMar>
          </w:tcPr>
          <w:p>
            <w:pPr>
              <w:spacing w:after="0"/>
            </w:pPr>
            <w:r>
              <w:rPr>
                <w:b/>
                <w:bCs/>
                <w:color w:val="047857"/>
                <w:sz w:val="17"/>
                <w:szCs w:val="17"/>
              </w:rPr>
              <w:t xml:space="preserve">OQ-29</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URS-33</w:t>
            </w:r>
          </w:p>
        </w:tc>
        <w:tc>
          <w:tcPr>
            <w:tcW w:type="pct" w:w="22%"/>
            <w:tcMar>
              <w:top w:type="dxa" w:w="80"/>
              <w:left w:type="dxa" w:w="110"/>
              <w:bottom w:type="dxa" w:w="80"/>
              <w:right w:type="dxa" w:w="110"/>
            </w:tcMar>
          </w:tcPr>
          <w:p>
            <w:pPr>
              <w:spacing w:after="0"/>
            </w:pPr>
            <w:r>
              <w:rPr>
                <w:b/>
                <w:bCs/>
                <w:color w:val="047857"/>
                <w:sz w:val="17"/>
                <w:szCs w:val="17"/>
              </w:rPr>
              <w:t xml:space="preserve">OQ-30</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URS-34</w:t>
            </w:r>
          </w:p>
        </w:tc>
        <w:tc>
          <w:tcPr>
            <w:tcW w:type="pct" w:w="22%"/>
            <w:tcMar>
              <w:top w:type="dxa" w:w="80"/>
              <w:left w:type="dxa" w:w="110"/>
              <w:bottom w:type="dxa" w:w="80"/>
              <w:right w:type="dxa" w:w="110"/>
            </w:tcMar>
          </w:tcPr>
          <w:p>
            <w:pPr>
              <w:spacing w:after="0"/>
            </w:pPr>
            <w:r>
              <w:rPr>
                <w:b/>
                <w:bCs/>
                <w:color w:val="047857"/>
                <w:sz w:val="17"/>
                <w:szCs w:val="17"/>
              </w:rPr>
              <w:t xml:space="preserve">OQ-31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URS-35</w:t>
            </w:r>
          </w:p>
        </w:tc>
        <w:tc>
          <w:tcPr>
            <w:tcW w:type="pct" w:w="22%"/>
            <w:tcMar>
              <w:top w:type="dxa" w:w="80"/>
              <w:left w:type="dxa" w:w="110"/>
              <w:bottom w:type="dxa" w:w="80"/>
              <w:right w:type="dxa" w:w="110"/>
            </w:tcMar>
          </w:tcPr>
          <w:p>
            <w:pPr>
              <w:spacing w:after="0"/>
            </w:pPr>
            <w:r>
              <w:rPr>
                <w:b/>
                <w:bCs/>
                <w:color w:val="047857"/>
                <w:sz w:val="17"/>
                <w:szCs w:val="17"/>
              </w:rPr>
              <w:t xml:space="preserve">OQ-32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URS-36</w:t>
            </w:r>
          </w:p>
        </w:tc>
        <w:tc>
          <w:tcPr>
            <w:tcW w:type="pct" w:w="22%"/>
            <w:tcMar>
              <w:top w:type="dxa" w:w="80"/>
              <w:left w:type="dxa" w:w="110"/>
              <w:bottom w:type="dxa" w:w="80"/>
              <w:right w:type="dxa" w:w="110"/>
            </w:tcMar>
          </w:tcPr>
          <w:p>
            <w:pPr>
              <w:spacing w:after="0"/>
            </w:pPr>
            <w:r>
              <w:rPr>
                <w:b/>
                <w:bCs/>
                <w:color w:val="047857"/>
                <w:sz w:val="17"/>
                <w:szCs w:val="17"/>
              </w:rPr>
              <w:t xml:space="preserve">OQ-33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URS-37</w:t>
            </w:r>
          </w:p>
        </w:tc>
        <w:tc>
          <w:tcPr>
            <w:tcW w:type="pct" w:w="22%"/>
            <w:tcMar>
              <w:top w:type="dxa" w:w="80"/>
              <w:left w:type="dxa" w:w="110"/>
              <w:bottom w:type="dxa" w:w="80"/>
              <w:right w:type="dxa" w:w="110"/>
            </w:tcMar>
          </w:tcPr>
          <w:p>
            <w:pPr>
              <w:spacing w:after="0"/>
            </w:pPr>
            <w:r>
              <w:rPr>
                <w:b/>
                <w:bCs/>
                <w:color w:val="047857"/>
                <w:sz w:val="17"/>
                <w:szCs w:val="17"/>
              </w:rPr>
              <w:t xml:space="preserve">OQ-34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bl>
    <w:p>
      <w:pPr>
        <w:pStyle w:val="Heading1"/>
        <w:spacing w:after="140" w:before="320"/>
      </w:pPr>
      <w:r>
        <w:t xml:space="preserve">7. Ce qui reste à votre charge</w:t>
      </w:r>
    </w:p>
    <w:p>
      <w:pPr>
        <w:spacing w:after="140"/>
      </w:pPr>
      <w:r>
        <w:rPr>
          <w:sz w:val="20"/>
          <w:szCs w:val="20"/>
        </w:rPr>
        <w:t xml:space="preserve">Sur les 37 exigences, 33 sont vérifiées automatiquement par l'éditeur et 4 doivent l'être chez vous. Ce n'est pas un partage arbitraire : ces 4 exigences ne sont pas observables sans navigateur, sans requête HTTP ou sans votre infrastructure. Les compter comme couvertes serait une affirmation invérifiable.</w:t>
      </w:r>
    </w:p>
    <w:p>
      <w:pPr>
        <w:spacing w:after="60"/>
      </w:pPr>
      <w:r>
        <w:rPr>
          <w:b/>
          <w:bCs/>
          <w:sz w:val="20"/>
          <w:szCs w:val="20"/>
        </w:rPr>
        <w:t xml:space="preserve">Qualification d'installation (IQ)</w:t>
      </w:r>
    </w:p>
    <w:p>
      <w:pPr>
        <w:spacing w:after="140"/>
      </w:pPr>
      <w:r>
        <w:rPr>
          <w:sz w:val="20"/>
          <w:szCs w:val="20"/>
        </w:rPr>
        <w:t xml:space="preserve">Exécuter et signer le protocole IQ remis avec ce dossier : prérequis, déploiement, contrôles d'environnement, sauvegarde et restauration éprouvées, accès HTTPS. C'est votre installation, sur votre infrastructure — l'éditeur ne peut pas la qualifier à votre place.</w:t>
      </w:r>
    </w:p>
    <w:p>
      <w:pPr>
        <w:spacing w:after="60"/>
      </w:pPr>
      <w:r>
        <w:rPr>
          <w:b/>
          <w:bCs/>
          <w:sz w:val="20"/>
          <w:szCs w:val="20"/>
        </w:rPr>
        <w:t xml:space="preserve">Qualification de performance (PQ)</w:t>
      </w:r>
    </w:p>
    <w:p>
      <w:pPr>
        <w:spacing w:after="140"/>
      </w:pPr>
      <w:r>
        <w:rPr>
          <w:sz w:val="20"/>
          <w:szCs w:val="20"/>
        </w:rPr>
        <w:t xml:space="preserve">Vérifier dans votre environnement les 4 exigences reportées (section 6), puis dérouler vos propres cas d'usage prévu : votre nomenclature, vos types de documents, vos rôles réels, votre volume.</w:t>
      </w:r>
    </w:p>
    <w:p>
      <w:pPr>
        <w:spacing w:after="60"/>
      </w:pPr>
      <w:r>
        <w:rPr>
          <w:b/>
          <w:bCs/>
          <w:sz w:val="20"/>
          <w:szCs w:val="20"/>
        </w:rPr>
        <w:t xml:space="preserve">Définition de votre usage prévu</w:t>
      </w:r>
    </w:p>
    <w:p>
      <w:pPr>
        <w:spacing w:after="140"/>
      </w:pPr>
      <w:r>
        <w:rPr>
          <w:sz w:val="20"/>
          <w:szCs w:val="20"/>
        </w:rPr>
        <w:t xml:space="preserve">Énoncer ce que vous attendez du logiciel dans VOTRE système qualité : quels enregistrements il porte, quelles décisions s'appuient dessus, quelles procédures l'encadrent. C'est le document dont dépend la portée de votre validation, et l'éditeur ne peut pas l'écrire.</w:t>
      </w:r>
    </w:p>
    <w:p>
      <w:pPr>
        <w:spacing w:after="60"/>
      </w:pPr>
      <w:r>
        <w:rPr>
          <w:b/>
          <w:bCs/>
          <w:sz w:val="20"/>
          <w:szCs w:val="20"/>
        </w:rPr>
        <w:t xml:space="preserve">Revalidation à chaque version</w:t>
      </w:r>
    </w:p>
    <w:p>
      <w:pPr>
        <w:spacing w:after="140"/>
      </w:pPr>
      <w:r>
        <w:rPr>
          <w:sz w:val="20"/>
          <w:szCs w:val="20"/>
        </w:rPr>
        <w:t xml:space="preserve">Rejouer votre PQ à chaque mise à jour, en vous appuyant sur le rapport OQ de la nouvelle version. L'éditeur fournit ce rapport régénéré à chaque livraison ; sans lui, votre revalidation repartirait de zéro.</w:t>
      </w:r>
    </w:p>
    <w:p>
      <w:pPr>
        <w:spacing w:after="60"/>
      </w:pPr>
      <w:r>
        <w:rPr>
          <w:b/>
          <w:bCs/>
          <w:sz w:val="20"/>
          <w:szCs w:val="20"/>
        </w:rPr>
        <w:t xml:space="preserve">Certification 21 CFR §11.100(c)</w:t>
      </w:r>
    </w:p>
    <w:p>
      <w:pPr>
        <w:spacing w:after="140"/>
      </w:pPr>
      <w:r>
        <w:rPr>
          <w:sz w:val="20"/>
          <w:szCs w:val="20"/>
        </w:rPr>
        <w:t xml:space="preserve">Si vous êtes soumis au Part 11, la certification auprès de la FDA est un acte de votre entité juridique. Aucun fournisseur ne la porte à votre place.</w:t>
      </w:r>
    </w:p>
    <w:p>
      <w:pPr>
        <w:pStyle w:val="Heading1"/>
        <w:spacing w:after="140" w:before="320"/>
      </w:pPr>
      <w:r>
        <w:t xml:space="preserve">8. Maintien du dossier</w:t>
      </w:r>
    </w:p>
    <w:p>
      <w:pPr>
        <w:spacing w:after="140"/>
      </w:pPr>
      <w:r>
        <w:rPr>
          <w:sz w:val="20"/>
          <w:szCs w:val="20"/>
        </w:rPr>
        <w:t xml:space="preserve">Le piège connu d'un pack de validation fournisseur est de vieillir : rédigé une fois, il cesse de décrire le produit dès la version suivante, et un auditeur qui s'en aperçoit remet en cause la validation entière.</w:t>
      </w:r>
    </w:p>
    <w:p>
      <w:pPr>
        <w:spacing w:after="140"/>
      </w:pPr>
      <w:r>
        <w:rPr>
          <w:sz w:val="20"/>
          <w:szCs w:val="20"/>
        </w:rPr>
        <w:t xml:space="preserve">Ce dossier est protégé de ce vieillissement par construction : la section 5 n'est pas rédigée, elle est PRODUITE à partir du fichier de résultats de la suite de tests. Le générateur refuse d'écrire le document si la suite n'a pas été exécutée, et signale en tête tout écart constaté. Un dossier qui affirme « aucun écart » a donc nécessairement vu passer une exécution réelle et verte.</w:t>
      </w:r>
    </w:p>
    <w:p>
      <w:pPr>
        <w:spacing w:after="160"/>
      </w:pPr>
      <w:r>
        <w:rPr>
          <w:b/>
          <w:bCs/>
          <w:sz w:val="20"/>
          <w:szCs w:val="20"/>
        </w:rPr>
        <w:t xml:space="preserve">Conséquence pratique pour vous : demandez la version du dossier correspondant à la version que vous exploitez, et vérifiez que la date d'exécution en section 5 est postérieure à la publication de cette version.</w:t>
      </w:r>
    </w:p>
    <w:p>
      <w:pPr>
        <w:pStyle w:val="Heading1"/>
        <w:spacing w:after="140" w:before="320"/>
      </w:pPr>
      <w:r>
        <w:t xml:space="preserve">9. Limites de ce dossier</w:t>
      </w:r>
    </w:p>
    <w:p>
      <w:pPr>
        <w:spacing w:after="100"/>
      </w:pPr>
      <w:r>
        <w:rPr>
          <w:sz w:val="20"/>
          <w:szCs w:val="20"/>
        </w:rPr>
        <w:t xml:space="preserve">— La couverture de test porte sur les règles métier du produit (autorité, piste d'audit, signature, gel de contenu, calculs CLSI, robustesse des entrées). Elle ne couvre pas l'interface utilisateur, dont la vérification relève de votre PQ.</w:t>
      </w:r>
    </w:p>
    <w:p>
      <w:pPr>
        <w:spacing w:after="100"/>
      </w:pPr>
      <w:r>
        <w:rPr>
          <w:sz w:val="20"/>
          <w:szCs w:val="20"/>
        </w:rPr>
        <w:t xml:space="preserve">— Les cas sont exécutés sur SQLite, moteur de base livré avec le produit. Un déploiement sur un autre moteur sortirait du périmètre de ce dossier.</w:t>
      </w:r>
    </w:p>
    <w:p>
      <w:pPr>
        <w:spacing w:after="100"/>
      </w:pPr>
      <w:r>
        <w:rPr>
          <w:sz w:val="20"/>
          <w:szCs w:val="20"/>
        </w:rPr>
        <w:t xml:space="preserve">— La tenue sous charge fait l'objet d'une campagne mesurée à part, remise avec ce dossier (note de tenue sous charge) : le logiciel est caractérisé jusqu'à 50 143 entrées de piste d'audit. Ce qui n'y est PAS mesuré est nommé dans la note, à commencer par les utilisateurs simultanés — SQLite n'admet qu'un écrivain à la fois. Au-delà du domaine mesuré, le comportement n'est pas caractérisé.</w:t>
      </w:r>
    </w:p>
    <w:p>
      <w:pPr>
        <w:spacing w:after="100"/>
      </w:pPr>
      <w:r>
        <w:rPr>
          <w:sz w:val="20"/>
          <w:szCs w:val="20"/>
        </w:rPr>
        <w:t xml:space="preserve">— Aucun test de pénétration n'a été conduit par un tiers indépendant. Les contrôles d'autorité sont vérifiés, la résistance à une attaque ciblée ne l'est pas.</w:t>
      </w:r>
    </w:p>
    <w:p>
      <w:pPr>
        <w:spacing w:after="100"/>
      </w:pPr>
      <w:r>
        <w:rPr>
          <w:sz w:val="20"/>
          <w:szCs w:val="20"/>
        </w:rPr>
        <w:t xml:space="preserve">— Les copies d'archivage sont produites au format PDF/A-2b et contrôlées par nos propres vérifications structurelles, rejouées à chaque version : police et profil colorimétrique embarqués, métadonnées de conformité, table de références croisées exacte, texte retraduisible par la table du fichier. Aucun VALIDATEUR INDÉPENDANT — veraPDF, l'implémentation de référence — n'a été exécuté sur ces sorties. Le format est donc visé et contrôlé, pas certifié.</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Version 1.2.1 · rapport OQ exécuté le 6 août 2026 à 19:52 UTC</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Dossier de validation logiciel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Dossier de validation logiciel</dc:title>
  <dc:creator>Un-named</dc:creator>
  <cp:lastModifiedBy>Un-named</cp:lastModifiedBy>
  <cp:revision>1</cp:revision>
  <dcterms:created xsi:type="dcterms:W3CDTF">2026-08-07T07:34:14.865Z</dcterms:created>
  <dcterms:modified xsi:type="dcterms:W3CDTF">2026-08-07T07:34:14.865Z</dcterms:modified>
</cp:coreProperties>
</file>

<file path=docProps/custom.xml><?xml version="1.0" encoding="utf-8"?>
<Properties xmlns="http://schemas.openxmlformats.org/officeDocument/2006/custom-properties" xmlns:vt="http://schemas.openxmlformats.org/officeDocument/2006/docPropsVTypes"/>
</file>