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7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Eleven checks run under the statement field, on every keystroke: missing or weakened obligation verb, several requirements in one, unmeasurable term, escape clause, open-ended list, comparison without a value, value without tolerance, passive voice without an actor, negative requirement, over-long statement. Each finding QUOTES the exact fragment of your sentence, says why it is a problem and proposes the action. The EARS pattern is recognised — ubiquitous, event-driven, state-driven, unwanted behaviour, optional feature — and the five templates unfold with an example. All of this runs WITHOUT an API key, without network, identically from one machine to another: that is what makes it qualifiable, and a qualification case exercises it on eleven faulty and five correct statements. If your organisation has configured an Anthropic key, an EARS rewrite can be requested in addition; the model is forbidden to invent a value, a unit or a component absent from the original — it leaves a placeholder to fill. Nothing is written in your place, and no finding prevents saving.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PDF/A-2b archival copy of every frozen record inside the inspection archive — embedded font and colour profile, it reads without office software and carries the digests of the authoritative .docx. Append-only, CHAINED and BILINGUAL audit trail: every entry carries the fingerprint of the previous one — verification names the rank where a chain breaks — and its message key, so that it reads back in French or in English without ever being rewritten. The trail is furthermore REVIEWED periodically, and the review is a signed record: each review covers a range of RANKS — never dates — and starts exactly at the rank following the previous one, so no entry can be written into the gap between two reviews; the distance between the last covered rank and the trail head is shown permanently, and any coverage gap is computed.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Concurrent users are not qualified</w:t>
      </w:r>
    </w:p>
    <w:p>
      <w:pPr>
        <w:spacing w:after="150"/>
      </w:pPr>
      <w:r>
        <w:rPr>
          <w:sz w:val="20"/>
          <w:szCs w:val="20"/>
        </w:rPr>
        <w:t xml:space="preserve">A measured load campaign ships with the product: it characterises behaviour up to fifty thousand audit trail entries, and names what degrades — audit chain verification, re-read in full on every display of the audit screen. What it does not measure is stated just as plainly: CONCURRENT users. The database engine shipped admits only one writer at a time; two signatures applied in the same second wait for each other. If you expect more than a handful of simultaneously active users, that is the first thing to exercise in your performance qualification.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audit trail review FREQUENCY, and the JUDGEMENT passed at each review. Filum computes coverage, designates what deserves reading, requires a reasoned verdict on every selected entry and signs the closure — but it cannot tell a legitimate change from a suspicious one, and it imposes no period: the right one depends on your activity volume and the criticality of the system. Reviewer independence is measured and recorded on every review, never enforced — it is for your quality system to say whether it suffices.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7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7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2026-08-07T07:34:07.556Z</dcterms:created>
  <dcterms:modified xsi:type="dcterms:W3CDTF">2026-08-07T07:34:07.556Z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