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38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piste d'audit se lit dans la langue du lecteur. Chaque entrée écrite par l'application porte la clé de son message et ses arguments ; le texte est rendu à la lecture, à l'écran, dans l'export CSV et dans l'archive d'inspection. Les valeurs d'énumération suivent la langue, les données saisies restent intactes, la clé et les arguments entrent dans l'empreinte de l'entrée, et les entrées antérieures restent lisibles avec leurs empreintes vérifiables.</w:t>
            </w:r>
          </w:p>
        </w:tc>
        <w:tc>
          <w:tcPr>
            <w:tcW w:type="pct" w:w="28%"/>
            <w:tcMar>
              <w:top w:type="dxa" w:w="80"/>
              <w:left w:type="dxa" w:w="110"/>
              <w:bottom w:type="dxa" w:w="80"/>
              <w:right w:type="dxa" w:w="110"/>
            </w:tcMar>
          </w:tcPr>
          <w:p>
            <w:pPr>
              <w:spacing w:after="0"/>
            </w:pPr>
            <w:r>
              <w:rPr>
                <w:sz w:val="17"/>
                <w:szCs w:val="17"/>
              </w:rPr>
              <w:t xml:space="preserve">La piste d'audit est l'enregistrement qu'un auditeur lit en premier. Une équipe anglophone la consultait en français : elle ne pouvait ni la relire, ni la produire à son inspecteur, ni la revoir périodiquement comme le projet d'Annexe 11 l'attend. Le risque n'est pas la perte de donnée mais l'illisibilité d'un enregistrement réglementaire — et, si la traduction se faisait hors empreinte, la possibilité d'une version anglaise falsifiée que la chaîne déclarerait intacte.</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Chaque enregistrement figé emporte dans l'archive d'inspection une copie d'archivage au format PDF/A-2b : police embarquée, profil colorimétrique embarqué, métadonnées déclarant la partie et le niveau de conformité, identifiant de fichier, aucun chiffrement ni script. La copie porte les empreintes du contenu et du fichier, énonce qu'elle n'est pas l'enregistrement, et son texte se retraduit en caractères par sa propre table de correspondance.</w:t>
            </w:r>
          </w:p>
        </w:tc>
        <w:tc>
          <w:tcPr>
            <w:tcW w:type="pct" w:w="28%"/>
            <w:tcMar>
              <w:top w:type="dxa" w:w="80"/>
              <w:left w:type="dxa" w:w="110"/>
              <w:bottom w:type="dxa" w:w="80"/>
              <w:right w:type="dxa" w:w="110"/>
            </w:tcMar>
          </w:tcPr>
          <w:p>
            <w:pPr>
              <w:spacing w:after="0"/>
            </w:pPr>
            <w:r>
              <w:rPr>
                <w:sz w:val="17"/>
                <w:szCs w:val="17"/>
              </w:rPr>
              <w:t xml:space="preserve">L'enregistrement qui fait foi est un .docx, et sa lisibilité dans dix ans dépend d'un logiciel bureautique dont rien ne garantit l'existence. Le risque n'est pas la perte de la donnée — les octets sont conservés et leur empreinte est signée — mais l'impossibilité de la LIRE au moment d'une inspection. Une copie qui prétendrait être l'enregistrement serait pire que pas de copie : la signature porte sur l'empreinte du contenu gelé, et confondre les deux romprait la chaîne de preuve.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revues périodiques de la piste d'audit couvrent des plages de RANGS contiguës : une revue commence exactement au rang qui suit la dernière revue close, sa fenêtre est figée à l'ouverture, et le logiciel refuse d'ouvrir une seconde revue tant qu'une autre est en cours. Toute lacune de couverture est calculée et signalée.</w:t>
            </w:r>
          </w:p>
        </w:tc>
        <w:tc>
          <w:tcPr>
            <w:tcW w:type="pct" w:w="28%"/>
            <w:tcMar>
              <w:top w:type="dxa" w:w="80"/>
              <w:left w:type="dxa" w:w="110"/>
              <w:bottom w:type="dxa" w:w="80"/>
              <w:right w:type="dxa" w:w="110"/>
            </w:tcMar>
          </w:tcPr>
          <w:p>
            <w:pPr>
              <w:spacing w:after="0"/>
            </w:pPr>
            <w:r>
              <w:rPr>
                <w:sz w:val="17"/>
                <w:szCs w:val="17"/>
              </w:rPr>
              <w:t xml:space="preserve">Une revue bornée par des dates laisse échapper ce qui s'écrit pendant qu'on la clôture : la revue suivante repartant du lendemain, ces entrées ne seront lues par personne, et rien ne le signalera. C'est le défaut qui vide la revue de sa valeur tout en produisant un enregistrement signé — donc la fausse assurance la plus coûteuse. Deux revues concurrentes produiraient le même effet à l'autre bout.</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clôture d'une revue est une signature électronique : elle exige la ressaisie du mot de passe, porte le nom imprimé, la signification « Revu » et l'horodatage, et recopie l'empreinte du CONTENU revu — fenêtre, comptes, règles appliquées, verdicts et conclusion. Elle est refusée tant qu'une entrée retenue n'est pas statuée, tant que la conclusion est vide, et une revue close ne se rouvre pas.</w:t>
            </w:r>
          </w:p>
        </w:tc>
        <w:tc>
          <w:tcPr>
            <w:tcW w:type="pct" w:w="28%"/>
            <w:tcMar>
              <w:top w:type="dxa" w:w="80"/>
              <w:left w:type="dxa" w:w="110"/>
              <w:bottom w:type="dxa" w:w="80"/>
              <w:right w:type="dxa" w:w="110"/>
            </w:tcMar>
          </w:tcPr>
          <w:p>
            <w:pPr>
              <w:spacing w:after="0"/>
            </w:pPr>
            <w:r>
              <w:rPr>
                <w:sz w:val="17"/>
                <w:szCs w:val="17"/>
              </w:rPr>
              <w:t xml:space="preserve">Une revue signée sans empreinte du contenu revu atteste d'une date, pas d'un travail : « revu le 6 août » ne dit pas QUOI a été revu, et le contenu pourrait changer ensuite sans que la signature en souffre. Une clôture possible sur des lignes non statuées permettrait de signer un travail non fait — l'inverse exact de ce que la revue prouve.</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contrôles de qualité d'énoncé sont DÉTERMINISTES et sans effet de bord : ils s'exécutent sans clé d'API et sans accès réseau, rendent le même résultat pour le même énoncé, citent le fragment fautif tel qu'il a été écrit, n'écrivent jamais dans l'enregistrement et n'empêchent jamais de l'enregistrer.</w:t>
            </w:r>
          </w:p>
        </w:tc>
        <w:tc>
          <w:tcPr>
            <w:tcW w:type="pct" w:w="28%"/>
            <w:tcMar>
              <w:top w:type="dxa" w:w="80"/>
              <w:left w:type="dxa" w:w="110"/>
              <w:bottom w:type="dxa" w:w="80"/>
              <w:right w:type="dxa" w:w="110"/>
            </w:tcMar>
          </w:tcPr>
          <w:p>
            <w:pPr>
              <w:spacing w:after="0"/>
            </w:pPr>
            <w:r>
              <w:rPr>
                <w:sz w:val="17"/>
                <w:szCs w:val="17"/>
              </w:rPr>
              <w:t xml:space="preserve">Un contrôle qui réécrirait l'énoncé changerait l'auteur d'un enregistrement sans que personne l'ait décidé — l'attribution ALCOA+ tomberait. Un contrôle qui bloquerait l'enregistrement serait contourné en retirant le mot déclencheur, et deviendrait une décoration qui donne l'illusion d'une maîtrise. Un contrôle dépendant d'un modèle de langue ne rendrait pas deux fois le même verdict et ne pourrait pas être qualifié.</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classeur .xlsx et un document .docx sont lus sans conversion préalable : chaque tableau est restitué avec ses en-têtes d'origine, les cellules vides conservent leur position, et le tableau retenu passe par le MÊME aperçu à blanc que le CSV. Les valeurs d'énumération sont ramenées aux valeurs internes, quelle que soit la langue du fichier ; une valeur non reconnue est signalée et ignorée, jamais stockée telle quelle.</w:t>
            </w:r>
          </w:p>
        </w:tc>
        <w:tc>
          <w:tcPr>
            <w:tcW w:type="pct" w:w="28%"/>
            <w:tcMar>
              <w:top w:type="dxa" w:w="80"/>
              <w:left w:type="dxa" w:w="110"/>
              <w:bottom w:type="dxa" w:w="80"/>
              <w:right w:type="dxa" w:w="110"/>
            </w:tcMar>
          </w:tcPr>
          <w:p>
            <w:pPr>
              <w:spacing w:after="0"/>
            </w:pPr>
            <w:r>
              <w:rPr>
                <w:sz w:val="17"/>
                <w:szCs w:val="17"/>
              </w:rPr>
              <w:t xml:space="preserve">Une cellule vide non conservée décale toutes les suivantes : la justification d'une exigence se retrouve dans le sous-système, et rien ne le signale — c'est le défaut le plus silencieux qu'un import puisse produire. Une valeur d'énumération stockée telle quelle est aussi grave dans l'autre sens : une exigence « Haute » importée d'un fichier français s'affiche comme faible et sort des filtres de criticité, si bien que l'exigence la plus critique du dossier devient la moins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bl>
    <w:p>
      <w:pPr>
        <w:pStyle w:val="Heading2"/>
        <w:spacing w:after="140" w:before="320"/>
      </w:pPr>
      <w:r>
        <w:t xml:space="preserve">4. Analyse de risque logiciel</w:t>
      </w:r>
    </w:p>
    <w:p>
      <w:pPr>
        <w:spacing w:after="140"/>
      </w:pPr>
      <w:r>
        <w:rPr>
          <w:sz w:val="20"/>
          <w:szCs w:val="20"/>
        </w:rPr>
        <w:t xml:space="preserve">Répartition : 25 exigences à risque haut, 11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7 août 2026 à 08:22</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35 cas sur 35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(5393c913df98… ≠ 0a8ab3e14942…),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10486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109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cmsiofen…, empreinte attestée 3767 CD80 ACC9, manifestation « Testeur QA1 (QA1) · Approuvé · 07/08/2026 08:22:16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10487 octets relus à l'identique ; inversion d'un octet en position 5243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(10495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65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151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303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43 fichier(s) couverts par empreintes.sha256, 0 écart ; ancre 3b9ab364d9804cdc…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2036-08-07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442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365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90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34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205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50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262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205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7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police et profil ICC des copies d'archivage présents dans l'image ; /login répond 200 ; une route protégée rend l'écran de connexion (10431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8998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Piste d'audit bilingue — rendu, vocabulaire, données, et empreinte du message</w:t>
            </w:r>
          </w:p>
          <w:p>
            <w:pPr>
              <w:spacing w:after="0"/>
            </w:pPr>
            <w:r>
              <w:rPr>
                <w:color w:val="475569"/>
                <w:sz w:val="15"/>
                <w:szCs w:val="15"/>
              </w:rPr>
              <w:t xml:space="preserve">Vérifier que le catalogue est complet dans les deux langues, qu'une entrée écrite par l'application se relit en français et en anglais, que le vocabulaire du logiciel suit la langue pendant que la donnée saisie reste intacte, que la clé et les arguments sont couverts par l'empreinte, et que les entrées antérieures gardent la leur.</w:t>
            </w:r>
          </w:p>
        </w:tc>
        <w:tc>
          <w:tcPr>
            <w:tcW w:type="pct" w:w="45%"/>
            <w:tcMar>
              <w:top w:type="dxa" w:w="80"/>
              <w:left w:type="dxa" w:w="110"/>
              <w:bottom w:type="dxa" w:w="80"/>
              <w:right w:type="dxa" w:w="110"/>
            </w:tcMar>
          </w:tcPr>
          <w:p>
            <w:pPr>
              <w:spacing w:after="0"/>
            </w:pPr>
            <w:r>
              <w:rPr>
                <w:sz w:val="17"/>
                <w:szCs w:val="17"/>
              </w:rPr>
              <w:t xml:space="preserve">187 messages du catalogue complets dans les deux langues et à variables identiques ; entrée écrite par le point de passage relue « SPEC-OQ30 : En attente → Justifié — justification : ess… » et « SPEC-OQ30: Pending → Justified — justification: essai d… » ; le statut suit la langue, le motif saisi est restitué à l'identique dans les deux ; réécriture des arguments et changement de clé détectés au rang 64, chaîne rétablie après remise en état ; une entrée sans message se sérialise sur 9 champs comme avant, 11 avec, miroir de console identique sur les deux formes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Copie d'archivage PDF/A — structure, ressources embarquées, et texte relisible</w:t>
            </w:r>
          </w:p>
          <w:p>
            <w:pPr>
              <w:spacing w:after="0"/>
            </w:pPr>
            <w:r>
              <w:rPr>
                <w:color w:val="475569"/>
                <w:sz w:val="15"/>
                <w:szCs w:val="15"/>
              </w:rPr>
              <w:t xml:space="preserve">Vérifier qu'un enregistrement figé produit une copie PDF/A-2b dont la police et le profil colorimétrique sont embarqués, dont les métadonnées déclarent la conformité visée, dont la table de références croisées pointe les vraies positions, et dont le texte se retraduit intégralement en caractères — accents compris.</w:t>
            </w:r>
          </w:p>
        </w:tc>
        <w:tc>
          <w:tcPr>
            <w:tcW w:type="pct" w:w="45%"/>
            <w:tcMar>
              <w:top w:type="dxa" w:w="80"/>
              <w:left w:type="dxa" w:w="110"/>
              <w:bottom w:type="dxa" w:w="80"/>
              <w:right w:type="dxa" w:w="110"/>
            </w:tcMar>
          </w:tcPr>
          <w:p>
            <w:pPr>
              <w:spacing w:after="0"/>
            </w:pPr>
            <w:r>
              <w:rPr>
                <w:sz w:val="17"/>
                <w:szCs w:val="17"/>
              </w:rPr>
              <w:t xml:space="preserve">copie d'archivage de OQ-012-revision rév. 001 produite (69087 octets, 1 page·s) ; 29 contrôles structurels PDF/A-2b passés — police embarquée, profil ICC « acsp » de 3024 octets, métadonnées pdfaid partie 2 niveau B, décalages exacts ; texte intégralement relu par la table du fichier, 44 caractère·s accentué·s ou typographiques restitués ; production déterministe (deux exécutions octet pour octet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Couverture des revues de piste : contiguë par rang, figée à l'ouverture, sans revue concurrente</w:t>
            </w:r>
          </w:p>
          <w:p>
            <w:pPr>
              <w:spacing w:after="0"/>
            </w:pPr>
            <w:r>
              <w:rPr>
                <w:color w:val="475569"/>
                <w:sz w:val="15"/>
                <w:szCs w:val="15"/>
              </w:rPr>
              <w:t xml:space="preserve">Vérifier qu'une revue fige sa fenêtre à l'ouverture — les entrées écrites pendant qu'elle est ouverte, y compris celles qu'elle produit elle-même, tombent dans la suivante —, qu'aucune seconde revue ne peut être ouverte en parallèle, qu'une fenêtre vide est refusée, et que deux revues successives ne laissent ni lacune ni recouvrement.</w:t>
            </w:r>
          </w:p>
        </w:tc>
        <w:tc>
          <w:tcPr>
            <w:tcW w:type="pct" w:w="45%"/>
            <w:tcMar>
              <w:top w:type="dxa" w:w="80"/>
              <w:left w:type="dxa" w:w="110"/>
              <w:bottom w:type="dxa" w:w="80"/>
              <w:right w:type="dxa" w:w="110"/>
            </w:tcMar>
          </w:tcPr>
          <w:p>
            <w:pPr>
              <w:spacing w:after="0"/>
            </w:pPr>
            <w:r>
              <w:rPr>
                <w:sz w:val="17"/>
                <w:szCs w:val="17"/>
              </w:rPr>
              <w:t xml:space="preserve">fenêtres successives 1-67 puis 68-70 : contiguës, sans recouvrement ni lacune ; ouverture concurrente refusée (« dejaOuverte ») ; l'entrée écrite PENDANT la première revue est tombée dans la seconde fenêtre, la fenêtre figée n'ayant pas bougé ; couverture atteinte au rang 74 sur 76, 0 lacune ; aucune rupture ajoutée à la chaîne sur 75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193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Clôture d'une revue : signature liée à l'empreinte du contenu revu, impossible sur des lignes non statuées</w:t>
            </w:r>
          </w:p>
          <w:p>
            <w:pPr>
              <w:spacing w:after="0"/>
            </w:pPr>
            <w:r>
              <w:rPr>
                <w:color w:val="475569"/>
                <w:sz w:val="15"/>
                <w:szCs w:val="15"/>
              </w:rPr>
              <w:t xml:space="preserve">Vérifier qu'une revue refuse de se clore tant qu'une entrée retenue n'est pas statuée ou que la conclusion est vide, qu'un verdict affirmatif exige son motif, que la clôture produit une manifestation portant le nom imprimé, la signification « Revu » et l'empreinte du contenu, que cette empreinte se recalcule à l'identique hors du logiciel et change au moindre changement de contenu, que l'indépendance est mesurée sur le SIGNATAIRE, et qu'une revue close ne se rouvre pas.</w:t>
            </w:r>
          </w:p>
        </w:tc>
        <w:tc>
          <w:tcPr>
            <w:tcW w:type="pct" w:w="45%"/>
            <w:tcMar>
              <w:top w:type="dxa" w:w="80"/>
              <w:left w:type="dxa" w:w="110"/>
              <w:bottom w:type="dxa" w:w="80"/>
              <w:right w:type="dxa" w:w="110"/>
            </w:tcMar>
          </w:tcPr>
          <w:p>
            <w:pPr>
              <w:spacing w:after="0"/>
            </w:pPr>
            <w:r>
              <w:rPr>
                <w:sz w:val="17"/>
                <w:szCs w:val="17"/>
              </w:rPr>
              <w:t xml:space="preserve">clôture refusée trois fois avant d'être permise — conclusion vide, 1 entrée(s) non statuée(s), verdict affirmatif sans motif ; manifestation « Testeur QR2 (QR2) · Revu · 07/08/2026 08:22:28 UTC · enregistrement E0F0 5795 EBB1 » portant le nom imprimé, la signification « Revu » et l'empreinte du contenu ; empreinte recalculée à l'identique hors du logiciel, et modifiée par le moindre changement de conclusion ou de verdict ; indépendance consignée sur le SIGNATAIRE (0 entrée·s écrite·s par lui, contre 5 par l'ouvreur) ; 10 règles de triage inscrites dans l'enregistrement ; re-clôture et re-statuage refusés ; aucune rupture ajoutée à la chaîne sur 82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Qualité d'énoncé : déterministe, sans réseau, sans écriture, sans blocage</w:t>
            </w:r>
          </w:p>
          <w:p>
            <w:pPr>
              <w:spacing w:after="0"/>
            </w:pPr>
            <w:r>
              <w:rPr>
                <w:color w:val="475569"/>
                <w:sz w:val="15"/>
                <w:szCs w:val="15"/>
              </w:rPr>
              <w:t xml:space="preserve">Vérifier que les contrôles rendent le même verdict pour le même énoncé, qu'ils citent le fragment fautif tel qu'il a été écrit, qu'ils reconnaissent les motifs EARS, qu'ils ne crient pas sur des énoncés corrects — références normatives et numéros de programme compris — et que rien dans le module n'écrit en base, n'appelle le réseau, ni ne peut empêcher un enregistrement.</w:t>
            </w:r>
          </w:p>
        </w:tc>
        <w:tc>
          <w:tcPr>
            <w:tcW w:type="pct" w:w="45%"/>
            <w:tcMar>
              <w:top w:type="dxa" w:w="80"/>
              <w:left w:type="dxa" w:w="110"/>
              <w:bottom w:type="dxa" w:w="80"/>
              <w:right w:type="dxa" w:w="110"/>
            </w:tcMar>
          </w:tcPr>
          <w:p>
            <w:pPr>
              <w:spacing w:after="0"/>
            </w:pPr>
            <w:r>
              <w:rPr>
                <w:sz w:val="17"/>
                <w:szCs w:val="17"/>
              </w:rPr>
              <w:t xml:space="preserve">11 règles déterministes éprouvées sur 11 énoncés fautifs : chacune s'est déclenchée et a cité le fragment exact de l'auteur ; aucun constat sur 5 énoncés corrects, références normatives (ISO 14971, CEI 60601-1) et numéro de programme (OD-300) compris ; 5 motifs EARS reconnus sur 7 énoncés dans les deux langues, et aucun motif rendu sur une phrase sans verbe d'obligation ; 16 analyses rejouées à l'identique (déterminisme) ; le module ne référence ni base, ni réseau, ni module serveur, et la création d'exigence ne le consulte pas — aucun constat ne peut donc empêcher un enregistrement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Reprise d'un classeur et d'un document : extraction fidèle, correspondance des colonnes, même aperçu à blanc</w:t>
            </w:r>
          </w:p>
          <w:p>
            <w:pPr>
              <w:spacing w:after="0"/>
            </w:pPr>
            <w:r>
              <w:rPr>
                <w:color w:val="475569"/>
                <w:sz w:val="15"/>
                <w:szCs w:val="15"/>
              </w:rPr>
              <w:t xml:space="preserve">Vérifier, sur des fichiers produits par Excel et Word eux-mêmes, que chaque tableau est restitué avec ses en-têtes d'origine, qu'une cellule vide au milieu d'une ligne ne décale pas les suivantes, que les intitulés maison sont assignables à la main, que les valeurs d'énumération françaises sont ramenées aux valeurs internes, et que le tableau retenu traverse le même aperçu à blanc et la même écriture que le CSV.</w:t>
            </w:r>
          </w:p>
        </w:tc>
        <w:tc>
          <w:tcPr>
            <w:tcW w:type="pct" w:w="45%"/>
            <w:tcMar>
              <w:top w:type="dxa" w:w="80"/>
              <w:left w:type="dxa" w:w="110"/>
              <w:bottom w:type="dxa" w:w="80"/>
              <w:right w:type="dxa" w:w="110"/>
            </w:tcMar>
          </w:tcPr>
          <w:p>
            <w:pPr>
              <w:spacing w:after="0"/>
            </w:pPr>
            <w:r>
              <w:rPr>
                <w:sz w:val="17"/>
                <w:szCs w:val="17"/>
              </w:rPr>
              <w:t xml:space="preserve">classeur Excel : 2 feuille(s) restituée(s) avec leurs noms réels et leurs 5 en-têtes d'origine, dont trois que Filum ne reconnaît pas (« Req ID », « Description of requirement », « Crit. ») ; la cellule vide au milieu de SYS-102 est conservée à sa place et « PM » n'a pas glissé d'une colonne ; document Word : 3 lignes lues d'un vrai tableau. Après assignation manuelle des trois colonnes, le tableau traverse l'aperçu à blanc EXISTANT : 3 à créer, 0 rejetée, et les criticités « Haute » sont ramenées à « High ». Une criticité inconnue est signalée et laissée vide plutôt que stockée. Un fichier non-zip et un format non pris en charge sont refusés avec leur motif propre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104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38 exigences, 34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tenue sous charge fait l'objet d'une campagne mesurée à part, remise avec ce dossier (note de tenue sous charge) : le logiciel est caractérisé jusqu'à 50 143 entrées de piste d'audit. Ce qui n'y est PAS mesuré est nommé dans la note, à commencer par les utilisateurs simultanés — SQLite n'admet qu'un écrivain à la fois. Au-delà du domaine mesuré, le comportement n'est pas caractérisé.</w:t>
      </w:r>
    </w:p>
    <w:p>
      <w:pPr>
        <w:spacing w:after="100"/>
      </w:pPr>
      <w:r>
        <w:rPr>
          <w:sz w:val="20"/>
          <w:szCs w:val="20"/>
        </w:rPr>
        <w:t xml:space="preserve">— Aucun test de pénétration n'a été conduit par un tiers indépendant. Les contrôles d'autorité sont vérifiés, la résistance à une attaque ciblée ne l'est pas.</w:t>
      </w:r>
    </w:p>
    <w:p>
      <w:pPr>
        <w:spacing w:after="100"/>
      </w:pPr>
      <w:r>
        <w:rPr>
          <w:sz w:val="20"/>
          <w:szCs w:val="20"/>
        </w:rPr>
        <w:t xml:space="preserve">— Les copies d'archivage sont produites au format PDF/A-2b et contrôlées par nos propres vérifications structurelles, rejouées à chaque version : police et profil colorimétrique embarqués, métadonnées de conformité, table de références croisées exacte, texte retraduisible par la table du fichier. Aucun VALIDATEUR INDÉPENDANT — veraPDF, l'implémentation de référence — n'a été exécuté sur ces sorties. Le format est donc visé et contrôlé, pas certifié.</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7 août 2026 à 08:22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2026-08-07T08:35:00.706Z</dcterms:created>
  <dcterms:modified xsi:type="dcterms:W3CDTF">2026-08-07T08:35:00.706Z</dcterms:modified>
</cp:coreProperties>
</file>

<file path=docProps/custom.xml><?xml version="1.0" encoding="utf-8"?>
<Properties xmlns="http://schemas.openxmlformats.org/officeDocument/2006/custom-properties" xmlns:vt="http://schemas.openxmlformats.org/officeDocument/2006/docPropsVTypes"/>
</file>