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1.2.1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34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delivered image starts and bootstraps a usable installation: migrations apply, the organisation, the programme, the administrator account and the standards library are created, the audit-trail chain is intact, the version announced is that of the software, and no data is served without a session.</w:t>
            </w:r>
          </w:p>
        </w:tc>
        <w:tc>
          <w:tcPr>
            <w:tcW w:type="pct" w:w="28%"/>
            <w:tcMar>
              <w:top w:type="dxa" w:w="80"/>
              <w:left w:type="dxa" w:w="110"/>
              <w:bottom w:type="dxa" w:w="80"/>
              <w:right w:type="dxa" w:w="110"/>
            </w:tcMar>
          </w:tcPr>
          <w:p>
            <w:pPr>
              <w:spacing w:after="0"/>
            </w:pPr>
            <w:r>
              <w:rPr>
                <w:sz w:val="17"/>
                <w:szCs w:val="17"/>
              </w:rPr>
              <w:t xml:space="preserve">It is the image that is delivered, not the source code. Everything the other cases verify runs OUTSIDE the container: neither type-checking, nor the application build, nor the qualification cases see what the image actually contains. That blind spot produced an image that could not start at all — the customer would have discovered it at step IQ-04, in front of their IT provider — and a container announcing a version that was not its own.</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audit trail reads in the reader's language. Every entry written by the application carries its message key and arguments; the text is rendered at read time, on screen, in the CSV export and in the inspection archive. Enumeration values follow the language, entered data stays intact, the key and arguments enter the entry's fingerprint, and earlier entries remain readable with verifiable fingerprints.</w:t>
            </w:r>
          </w:p>
        </w:tc>
        <w:tc>
          <w:tcPr>
            <w:tcW w:type="pct" w:w="28%"/>
            <w:tcMar>
              <w:top w:type="dxa" w:w="80"/>
              <w:left w:type="dxa" w:w="110"/>
              <w:bottom w:type="dxa" w:w="80"/>
              <w:right w:type="dxa" w:w="110"/>
            </w:tcMar>
          </w:tcPr>
          <w:p>
            <w:pPr>
              <w:spacing w:after="0"/>
            </w:pPr>
            <w:r>
              <w:rPr>
                <w:sz w:val="17"/>
                <w:szCs w:val="17"/>
              </w:rPr>
              <w:t xml:space="preserve">The audit trail is the record an auditor reads first. An English-speaking team consulted it in French: they could neither read it back, nor produce it to their inspector, nor review it periodically as the draft Annex 11 expects. The risk is not data loss but the illegibility of a regulatory record — and, had the translation happened outside the fingerprint, the possibility of a falsified English version that the chain would declare intact.</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Every frozen record carries, inside the inspection archive, an archival copy in PDF/A-2b format: embedded font, embedded colour profile, metadata declaring the conformance part and level, file identifier, no encryption and no script. The copy carries the content and file digests, states that it is not the record, and its text maps back to characters through its own mapping table.</w:t>
            </w:r>
          </w:p>
        </w:tc>
        <w:tc>
          <w:tcPr>
            <w:tcW w:type="pct" w:w="28%"/>
            <w:tcMar>
              <w:top w:type="dxa" w:w="80"/>
              <w:left w:type="dxa" w:w="110"/>
              <w:bottom w:type="dxa" w:w="80"/>
              <w:right w:type="dxa" w:w="110"/>
            </w:tcMar>
          </w:tcPr>
          <w:p>
            <w:pPr>
              <w:spacing w:after="0"/>
            </w:pPr>
            <w:r>
              <w:rPr>
                <w:sz w:val="17"/>
                <w:szCs w:val="17"/>
              </w:rPr>
              <w:t xml:space="preserve">The authoritative record is a .docx, and its readability in ten years depends on office software whose existence is not guaranteed. The risk is not data loss — the bytes are retained and their digest is signed — but the inability to READ it at inspection time. A copy claiming to be the record would be worse than no copy: the signature covers the digest of the frozen content, and confusing the two would break the chain of evidence.</w:t>
            </w:r>
          </w:p>
        </w:tc>
        <w:tc>
          <w:tcPr>
            <w:tcW w:type="pct" w:w="20%"/>
            <w:tcMar>
              <w:top w:type="dxa" w:w="80"/>
              <w:left w:type="dxa" w:w="110"/>
              <w:bottom w:type="dxa" w:w="80"/>
              <w:right w:type="dxa" w:w="110"/>
            </w:tcMar>
          </w:tcPr>
          <w:p>
            <w:pPr>
              <w:spacing w:after="0"/>
            </w:pPr>
            <w:r>
              <w:rPr>
                <w:sz w:val="17"/>
                <w:szCs w:val="17"/>
              </w:rPr>
              <w:t xml:space="preserve">21 CFR 11.10(b) · 21 CFR 11.10(c)</w:t>
            </w:r>
          </w:p>
        </w:tc>
      </w:tr>
    </w:tbl>
    <w:p>
      <w:pPr>
        <w:pStyle w:val="Heading2"/>
        <w:spacing w:after="140" w:before="320"/>
      </w:pPr>
      <w:r>
        <w:t xml:space="preserve">4. Software risk analysis</w:t>
      </w:r>
    </w:p>
    <w:p>
      <w:pPr>
        <w:spacing w:after="140"/>
      </w:pPr>
      <w:r>
        <w:rPr>
          <w:sz w:val="20"/>
          <w:szCs w:val="20"/>
        </w:rPr>
        <w:t xml:space="preserve">Breakdown: 22 requirements at high risk, 10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6 August 2026 at 12:48</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31 of 31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(e35a7a10d9dc… ≠ bc6b81eaf761…),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10488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105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cmshihvb…, attested fingerprint 3767 CD80 ACC9, manifestation “Testeur QA1 (QA1) · Approuvé · 06/08/2026 12:48:27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10488 bytes re-read identically; one byte flipped at position 5244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(10496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143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310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42 file(s) covered by empreintes.sha256, 0 deviation; anchor 21f27befcc9b7839…;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430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2036-08-06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439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301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90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32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“séquence”);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195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48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266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195 source file(s) re-read: no password write outside the authorised paths; a single write in the server actions, the personal change, which requires the old password; the console emergency tool issues a token and can no longer derive a password; no password field outside the 6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The delivered image starts, bootstraps, and discloses nothing</w:t>
            </w:r>
          </w:p>
          <w:p>
            <w:pPr>
              <w:spacing w:after="0"/>
            </w:pPr>
            <w:r>
              <w:rPr>
                <w:color w:val="475569"/>
                <w:sz w:val="15"/>
                <w:szCs w:val="15"/>
              </w:rPr>
              <w:t xml:space="preserve">Start a container from the image actually built, on virgin volumes, and verify from ITS log and ITS HTTP responses that the installation completes — instead of inferring it from the source code, which says nothing about what the image contains.</w:t>
            </w:r>
          </w:p>
        </w:tc>
        <w:tc>
          <w:tcPr>
            <w:tcW w:type="pct" w:w="45%"/>
            <w:tcMar>
              <w:top w:type="dxa" w:w="80"/>
              <w:left w:type="dxa" w:w="110"/>
              <w:bottom w:type="dxa" w:w="80"/>
              <w:right w:type="dxa" w:w="110"/>
            </w:tcMar>
          </w:tcPr>
          <w:p>
            <w:pPr>
              <w:spacing w:after="0"/>
            </w:pPr>
            <w:r>
              <w:rPr>
                <w:sz w:val="17"/>
                <w:szCs w:val="17"/>
              </w:rPr>
              <w:t xml:space="preserve">image filum:latest started on virgin volumes, container HEALTHY; migrations applied, audit-trail chain intact, organisation, programme, administrator account and standards library created; version 1.2.1 announced in the log AND carried by /app/VERSION; archival-copy font and ICC profile present in the image; /login answers 200; a protected route renders the sign-in screen (10431 bytes) disclosing neither the organisation name nor the programme name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9070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Bilingual audit trail — rendering, vocabulary, data, and message fingerprint</w:t>
            </w:r>
          </w:p>
          <w:p>
            <w:pPr>
              <w:spacing w:after="0"/>
            </w:pPr>
            <w:r>
              <w:rPr>
                <w:color w:val="475569"/>
                <w:sz w:val="15"/>
                <w:szCs w:val="15"/>
              </w:rPr>
              <w:t xml:space="preserve">Verify that the catalogue is complete in both languages, that an entry written by the application reads back in French and in English, that the software vocabulary follows the language while entered data stays intact, that the key and arguments are covered by the fingerprint, and that earlier entries keep theirs.</w:t>
            </w:r>
          </w:p>
        </w:tc>
        <w:tc>
          <w:tcPr>
            <w:tcW w:type="pct" w:w="45%"/>
            <w:tcMar>
              <w:top w:type="dxa" w:w="80"/>
              <w:left w:type="dxa" w:w="110"/>
              <w:bottom w:type="dxa" w:w="80"/>
              <w:right w:type="dxa" w:w="110"/>
            </w:tcMar>
          </w:tcPr>
          <w:p>
            <w:pPr>
              <w:spacing w:after="0"/>
            </w:pPr>
            <w:r>
              <w:rPr>
                <w:sz w:val="17"/>
                <w:szCs w:val="17"/>
              </w:rPr>
              <w:t xml:space="preserve">181 catalogue messages complete in both languages with identical variables; entry written through the chokepoint read back as “SPEC-OQ30 : En attente → Justifié — justification : ess…” and “SPEC-OQ30: Pending → Justified — justification: essai d…”; the status follows the language, the entered reason is returned identically in both; argument rewriting and key change detected at rank 64, chain restored after reinstatement; an entry without a message serialises over 9 fields as before, 11 with one, console mirror identical on both forms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PDF/A archival copy — structure, embedded resources, and readable text</w:t>
            </w:r>
          </w:p>
          <w:p>
            <w:pPr>
              <w:spacing w:after="0"/>
            </w:pPr>
            <w:r>
              <w:rPr>
                <w:color w:val="475569"/>
                <w:sz w:val="15"/>
                <w:szCs w:val="15"/>
              </w:rPr>
              <w:t xml:space="preserve">Verify that a frozen record produces a PDF/A-2b copy whose font and colour profile are embedded, whose metadata declares the targeted conformance, whose cross-reference table points at the real positions, and whose text maps back entirely to characters — accents included.</w:t>
            </w:r>
          </w:p>
        </w:tc>
        <w:tc>
          <w:tcPr>
            <w:tcW w:type="pct" w:w="45%"/>
            <w:tcMar>
              <w:top w:type="dxa" w:w="80"/>
              <w:left w:type="dxa" w:w="110"/>
              <w:bottom w:type="dxa" w:w="80"/>
              <w:right w:type="dxa" w:w="110"/>
            </w:tcMar>
          </w:tcPr>
          <w:p>
            <w:pPr>
              <w:spacing w:after="0"/>
            </w:pPr>
            <w:r>
              <w:rPr>
                <w:sz w:val="17"/>
                <w:szCs w:val="17"/>
              </w:rPr>
              <w:t xml:space="preserve">archival copy of OQ-012-revision rev. 001 produced (69087 bytes, 1 page(s)); 29 PDF/A-2b structural checks passed — embedded font, “acsp” ICC profile of 3024 bytes, pdfaid metadata part 2 level B, exact offsets; text fully read back through the file's own table, 44 accented or typographic character(s) restored; deterministic production (two runs identical byte for byte)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34 requirements, 30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Load behaviour is covered by a separate measured campaign, delivered with this file (load behaviour note): the software is characterised up to 50,143 audit trail entries. What it does NOT measure is named in the note, starting with concurrent users — SQLite admits only one writer at a time. Beyond the measured domain, behaviour is not characterised.</w:t>
      </w:r>
    </w:p>
    <w:p>
      <w:pPr>
        <w:spacing w:after="100"/>
      </w:pPr>
      <w:r>
        <w:rPr>
          <w:sz w:val="20"/>
          <w:szCs w:val="20"/>
        </w:rPr>
        <w:t xml:space="preserve">— No penetration test has been conducted by an independent third party. Authority checks are verified; resistance to a targeted attack is not.</w:t>
      </w:r>
    </w:p>
    <w:p>
      <w:pPr>
        <w:spacing w:after="100"/>
      </w:pPr>
      <w:r>
        <w:rPr>
          <w:sz w:val="20"/>
          <w:szCs w:val="20"/>
        </w:rPr>
        <w:t xml:space="preserve">— Archival copies are produced in PDF/A-2b format and checked by our own structural verifications, replayed at every release: embedded font and colour profile, conformance metadata, exact cross-reference table, text mappable back through the file's own table. No INDEPENDENT VALIDATOR — veraPDF, the reference implementation — has been run on these outputs. The format is therefore targeted and checked, not certified.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OQ report executed on 6 August 2026 at 12:48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2026-08-06T13:11:32.907Z</dcterms:created>
  <dcterms:modified xsi:type="dcterms:W3CDTF">2026-08-06T13:11:32.907Z</dcterms:modified>
</cp:coreProperties>
</file>

<file path=docProps/custom.xml><?xml version="1.0" encoding="utf-8"?>
<Properties xmlns="http://schemas.openxmlformats.org/officeDocument/2006/custom-properties" xmlns:vt="http://schemas.openxmlformats.org/officeDocument/2006/docPropsVTypes"/>
</file>