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Deux cas de qualification l'éprouvent, dont un qui relit le code source pour interdire toute écriture hors du point de passage unique.</w:t>
            </w:r>
          </w:p>
        </w:tc>
        <w:tc>
          <w:tcPr>
            <w:tcW w:type="pct" w:w="25%"/>
            <w:tcMar>
              <w:top w:type="dxa" w:w="80"/>
              <w:left w:type="dxa" w:w="110"/>
              <w:bottom w:type="dxa" w:w="80"/>
              <w:right w:type="dxa" w:w="110"/>
            </w:tcMar>
          </w:tcPr>
          <w:p>
            <w:pPr>
              <w:spacing w:after="0"/>
            </w:pPr>
            <w:r>
              <w:rPr>
                <w:sz w:val="17"/>
                <w:szCs w:val="17"/>
              </w:rPr>
              <w:t xml:space="preserve">La revue périodique de la piste, sa fréquence, et sa consignation. Filum rend la piste consultable et vérifiable ; il n'organise pas encore la revue elle-même ni son enregistrement.</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2026-08-06T13:11:20.019Z</dcterms:created>
  <dcterms:modified xsi:type="dcterms:W3CDTF">2026-08-06T13:11:20.019Z</dcterms:modified>
</cp:coreProperties>
</file>

<file path=docProps/custom.xml><?xml version="1.0" encoding="utf-8"?>
<Properties xmlns="http://schemas.openxmlformats.org/officeDocument/2006/custom-properties" xmlns:vt="http://schemas.openxmlformats.org/officeDocument/2006/docPropsVTypes"/>
</file>