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23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Statement quality</w:t>
            </w:r>
          </w:p>
        </w:tc>
        <w:tc>
          <w:tcPr>
            <w:tcW w:type="pct" w:w="78%"/>
            <w:tcMar>
              <w:top w:type="dxa" w:w="80"/>
              <w:left w:type="dxa" w:w="110"/>
              <w:bottom w:type="dxa" w:w="80"/>
              <w:right w:type="dxa" w:w="110"/>
            </w:tcMar>
          </w:tcPr>
          <w:p>
            <w:pPr>
              <w:spacing w:after="0"/>
            </w:pPr>
            <w:r>
              <w:rPr>
                <w:sz w:val="17"/>
                <w:szCs w:val="17"/>
              </w:rPr>
              <w:t xml:space="preserve">Eleven checks run under the statement field, on every keystroke: missing or weakened obligation verb, several requirements in one, unmeasurable term, escape clause, open-ended list, comparison without a value, value without tolerance, passive voice without an actor, negative requirement, over-long statement. Each finding QUOTES the exact fragment of your sentence, says why it is a problem and proposes the action. The EARS pattern is recognised — ubiquitous, event-driven, state-driven, unwanted behaviour, optional feature — and the five templates unfold with an example. All of this runs WITHOUT an API key, without network, identically from one machine to another: that is what makes it qualifiable, and a qualification case exercises it on eleven faulty and five correct statements. If your organisation has configured an Anthropic key, an EARS rewrite can be requested in addition; the model is forbidden to invent a value, a unit or a component absent from the original — it leaves a placeholder to fill. Nothing is written in your place, and no finding prevents saving.</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Technical file</w:t>
            </w:r>
          </w:p>
        </w:tc>
        <w:tc>
          <w:tcPr>
            <w:tcW w:type="pct" w:w="78%"/>
            <w:tcMar>
              <w:top w:type="dxa" w:w="80"/>
              <w:left w:type="dxa" w:w="110"/>
              <w:bottom w:type="dxa" w:w="80"/>
              <w:right w:type="dxa" w:w="110"/>
            </w:tcMar>
          </w:tcPr>
          <w:p>
            <w:pPr>
              <w:spacing w:after="0"/>
            </w:pPr>
            <w:r>
              <w:rPr>
                <w:sz w:val="17"/>
                <w:szCs w:val="17"/>
              </w:rPr>
              <w:t xml:space="preserve">One technical file per programme, in a single download. It indexes what Filum holds against the 50 items of the diagnostic referential — the SAME one as the frame supplied ahead of a mission — each linked to its ISO 13485 clause, its 21 CFR 820.30 reference and its Annex II section. Each line states what is covered, what is partial, what is missing, and what must come from your quality system. NO STATUS IS TYPED IN: they are derived from the graph at the moment of export, and change when the graph changes. The package carries the design files compiled per activity, the frozen records of released documents, the traceability matrix and the digests of every file. It is NOT a complete technical file, and its cover note says so: labelling, instructions for use, manufacturing specifications, design transfer, clinical evaluation and post-market surveillance do not exist in a design tool — fifteen of the fifty items are therefore named as out of scope, with the source they must come from. Leaving them out would produce an index that looks complete and a file that is not.</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PDF/A-2b archival copy of every frozen record inside the inspection archive — embedded font and colour profile, it reads without office software and carries the digests of the authoritative .docx. Append-only, CHAINED and BILINGUAL audit trail: every entry carries the fingerprint of the previous one — verification names the rank where a chain breaks — and its message key, so that it reads back in French or in English without ever being rewritten. The trail is furthermore REVIEWED periodically, and the review is a signed record: each review covers a range of RANKS — never dates — and starts exactly at the rank following the previous one, so no entry can be written into the gap between two reviews; the distance between the last covered rank and the trail head is shown permanently, and any coverage gap is computed.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Drop an .xlsx workbook or a .docx document AS IT IS: Filum finds the tables in it, you pick the one to import, then you say which column means what. Your headings stay yours — “Req ID”, “Crit.”, “Functional description” — automatic recognition offers what it knows, you assign the rest, and nothing is guessed in silence. Empty cells keep their position: a rationale cannot slide into the subsystem column. Values are mapped back to Filum's vocabulary whatever the file's language — “Haute” becomes “High” — and an unknown value is reported rather than stored. Fixed-template CSV import remains available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 The database uses WAL journalling: reads no longer block writes, and continuous replication becomes possible. The cold backup remains the reference — it stops the service and copies both volumes at the same instant, so it is consistent by construction. A continuous database replication option is DOCUMENTED, with the rule that makes it safe: it replicates the database only, and frozen records live in the second volume; since that volume is APPEND-ONLY, it is enough to restore the files to an instant at or after the database — files ahead are merely orphans. A command re-reads every piece the database references and distinguishes an absent piece from a tampered one, the two being repaired differently.</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A QUALIFICATION ABOUT PROCEDURES, because a flat “no” would be false: a procedure lives in Filum as a controlled document. The Draft → Review → Released cycle, content freezing at review, two-component signature, revision with justification, audit trail and PDF/A archival copy do not depend on the document type. To these are added an EFFECTIVE DATE distinct from approval — approving and making applicable are two acts, and the second often waits for people to be trained — and a PERIODIC REVIEW: declared interval, due date computed at every release, review recorded with its conclusion and its author, delay written to the trail. The due date is shown on the document and on the dashboard; it TRIGGERS no reminder, Filum having no outbound channel.
Also added: CONTROLLED DISTRIBUTION and READ ACKNOWLEDGEMENT — a recipient list per revision, the state of who has read and who is left, and an acknowledgement each person places FOR THEMSELVES, never for another. A reading holds for one revision and does not survive the next: releasing a new revision puts everyone back to pending without erasing what had been read of the previous one. Here too, nothing is SENT — no email, no reminder, no chasing: recipients see on their dashboard what is left for them to read.
A READ ACKNOWLEDGEMENT IS NOT A TRAINING RECORD, and the distinction is not a nicety: having read a procedure does not establish that you can apply it. Filum holds no training plan, no competence matrix, no job authorisation, no evaluation of training effectiveness — that is, most of what ISO 13485 §6.2 requires.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 with your information system</w:t>
      </w:r>
    </w:p>
    <w:p>
      <w:pPr>
        <w:spacing w:after="150"/>
      </w:pPr>
      <w:r>
        <w:rPr>
          <w:sz w:val="20"/>
          <w:szCs w:val="20"/>
        </w:rPr>
        <w:t xml:space="preserve">No webhooks, no PLM, ERP or ALM connector, no ReqIF. There is a READ-ONLY API, token-authenticated, to extract programmes, requirements and traceability — it gets data out, it does not bring any in and connects to nothing. Data migration goes through CSV files, or by dropping an .xlsx workbook or a .docx document (see “Migrating your data”).
AND FILUM IS NOT AN ERP. An ERP handles purchasing, stock, production scheduling, manufactured lots, invoicing and accounting. Filum handles the DESIGN FILE — what comes before production, not what drives it. The two sit side by side in a medical device company; they replace each other on no point, and Filum contributes to no ERP function.</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Audit entries already written are not retranslated</w:t>
      </w:r>
    </w:p>
    <w:p>
      <w:pPr>
        <w:spacing w:after="150"/>
      </w:pPr>
      <w:r>
        <w:rPr>
          <w:sz w:val="20"/>
          <w:szCs w:val="20"/>
        </w:rPr>
        <w:t xml:space="preserve">The audit trail now reads in French or in English — on screen, on export and in the inspection archive: each entry carries its message key and arguments, and the text is produced at read time. Two exceptions, assumed. Entries recorded BEFORE this version hold only their original French text: a record is not rewritten, and doing so would break the chaining — the screen flags them to the reader. The two server-console tools (bootstrap of the first administrator, emergency reset) also write in French: they run outside the application, where the message catalogue does not exist.</w:t>
      </w:r>
    </w:p>
    <w:p>
      <w:pPr>
        <w:spacing w:after="40"/>
      </w:pPr>
      <w:r>
        <w:rPr>
          <w:b/>
          <w:bCs/>
          <w:color w:val="B91C1C"/>
          <w:sz w:val="20"/>
          <w:szCs w:val="20"/>
        </w:rPr>
        <w:t xml:space="preserve">Concurrent users are not qualified</w:t>
      </w:r>
    </w:p>
    <w:p>
      <w:pPr>
        <w:spacing w:after="150"/>
      </w:pPr>
      <w:r>
        <w:rPr>
          <w:sz w:val="20"/>
          <w:szCs w:val="20"/>
        </w:rPr>
        <w:t xml:space="preserve">A measured load campaign ships with the product: it characterises behaviour up to fifty thousand audit trail entries, and names what degrades — audit chain verification, re-read in full on every display of the audit screen. What it does not measure is stated just as plainly: CONCURRENT users. The database engine shipped admits only one writer at a time; two signatures applied in the same second wait for each other. If you expect more than a handful of simultaneously active users, that is the first thing to exercise in your performance qualification.</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23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23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2026-08-23T17:11:12.092Z</dcterms:created>
  <dcterms:modified xsi:type="dcterms:W3CDTF">2026-08-23T17:11:12.093Z</dcterms:modified>
</cp:coreProperties>
</file>

<file path=docProps/custom.xml><?xml version="1.0" encoding="utf-8"?>
<Properties xmlns="http://schemas.openxmlformats.org/officeDocument/2006/custom-properties" xmlns:vt="http://schemas.openxmlformats.org/officeDocument/2006/docPropsVTypes"/>
</file>