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1.2.0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31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Software risk analysis</w:t>
      </w:r>
    </w:p>
    <w:p>
      <w:pPr>
        <w:spacing w:after="140"/>
      </w:pPr>
      <w:r>
        <w:rPr>
          <w:sz w:val="20"/>
          <w:szCs w:val="20"/>
        </w:rPr>
        <w:t xml:space="preserve">Breakdown: 21 requirements at high risk, 8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4 August 2026 at 16:04</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28 of 28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(fc5550566f42… ≠ 96440da417cf…),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10487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cmseumrd…, attested fingerprint 3767 CD80 ACC9, manifestation “Testeur QA1 (QA1) · Approuvé · 04/08/2026 16:04:52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136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510cd0bd33020b04…;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2036-08-04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“sequence”);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173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173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31 requirements, 27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Performance under load is not qualified here: scaling measurements exist but belong to operations, not to functional validation.</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OQ report executed on 4 August 2026 at 16:04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2026-08-05T08:36:07.573Z</dcterms:created>
  <dcterms:modified xsi:type="dcterms:W3CDTF">2026-08-05T08:36:07.573Z</dcterms:modified>
</cp:coreProperties>
</file>

<file path=docProps/custom.xml><?xml version="1.0" encoding="utf-8"?>
<Properties xmlns="http://schemas.openxmlformats.org/officeDocument/2006/custom-properties" xmlns:vt="http://schemas.openxmlformats.org/officeDocument/2006/docPropsVTypes"/>
</file>