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32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Analyse de risque logiciel</w:t>
      </w:r>
    </w:p>
    <w:p>
      <w:pPr>
        <w:spacing w:after="140"/>
      </w:pPr>
      <w:r>
        <w:rPr>
          <w:sz w:val="20"/>
          <w:szCs w:val="20"/>
        </w:rPr>
        <w:t xml:space="preserve">Répartition : 22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5 août 2026 à 10:08</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29 cas sur 29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(671e86ccff16… ≠ 075a3cac89f9…),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10484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cmsfxcn8…, empreinte attestée 3767 CD80 ACC9, manifestation « Testeur QA1 (QA1) · Approuvé · 05/08/2026 10:08:45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10485 octets relus à l'identique ; inversion d'un octet en position 5242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19cd40eb9e3b206c…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2036-08-05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1.2.0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9260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32 exigences, 28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5 août 2026 à 10:08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2026-08-05T10:10:47.756Z</dcterms:created>
  <dcterms:modified xsi:type="dcterms:W3CDTF">2026-08-05T10:10:47.756Z</dcterms:modified>
</cp:coreProperties>
</file>

<file path=docProps/custom.xml><?xml version="1.0" encoding="utf-8"?>
<Properties xmlns="http://schemas.openxmlformats.org/officeDocument/2006/custom-properties" xmlns:vt="http://schemas.openxmlformats.org/officeDocument/2006/docPropsVTypes"/>
</file>