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36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bl>
    <w:p>
      <w:pPr>
        <w:pStyle w:val="Heading2"/>
        <w:spacing w:after="140" w:before="320"/>
      </w:pPr>
      <w:r>
        <w:t xml:space="preserve">4. Software risk analysis</w:t>
      </w:r>
    </w:p>
    <w:p>
      <w:pPr>
        <w:spacing w:after="140"/>
      </w:pPr>
      <w:r>
        <w:rPr>
          <w:sz w:val="20"/>
          <w:szCs w:val="20"/>
        </w:rPr>
        <w:t xml:space="preserve">Breakdown: 24 requirements at high risk, 10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6 August 2026 at 17:59</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33 of 33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(a2b9030729d2… ≠ c124c47c008b…),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10486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cmshtlnf…, attested fingerprint 3767 CD80 ACC9, manifestation “Testeur QA1 (QA1) · Approuvé · 06/08/2026 17:59:19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(10494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147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b220dc2af1cc3347…;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2036-08-06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200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50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200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187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(69093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06/08/2026 17:59:36 UTC · enregistrement 34AB 06E1 AC12”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111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36 requirements, 32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6 August 2026 at 17:59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2026-08-06T18:10:11.829Z</dcterms:created>
  <dcterms:modified xsi:type="dcterms:W3CDTF">2026-08-06T18:10:11.829Z</dcterms:modified>
</cp:coreProperties>
</file>

<file path=docProps/custom.xml><?xml version="1.0" encoding="utf-8"?>
<Properties xmlns="http://schemas.openxmlformats.org/officeDocument/2006/custom-properties" xmlns:vt="http://schemas.openxmlformats.org/officeDocument/2006/docPropsVTypes"/>
</file>