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4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Append-only and CHAINED audit trail: every entry carries the fingerprint of the previous one, and verification names the rank where a chain breaks.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Fixed-template CSV import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The audit trail is written in French</w:t>
      </w:r>
    </w:p>
    <w:p>
      <w:pPr>
        <w:spacing w:after="150"/>
      </w:pPr>
      <w:r>
        <w:rPr>
          <w:sz w:val="20"/>
          <w:szCs w:val="20"/>
        </w:rPr>
        <w:t xml:space="preserve">The interface and the generated documents follow the chosen language, French or English. The reasons recorded in the audit trail, however, are written in French whatever that language is. An English-speaking team therefore reads its audit log in French — worth knowing if your inspectors do not read it.</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1.2.0, as of 4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1.2.0   ·   4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2026-08-04T13:51:04.684Z</dcterms:created>
  <dcterms:modified xsi:type="dcterms:W3CDTF">2026-08-04T13:51:04.684Z</dcterms:modified>
</cp:coreProperties>
</file>

<file path=docProps/custom.xml><?xml version="1.0" encoding="utf-8"?>
<Properties xmlns="http://schemas.openxmlformats.org/officeDocument/2006/custom-properties" xmlns:vt="http://schemas.openxmlformats.org/officeDocument/2006/docPropsVTypes"/>
</file>