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33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Analyse de risque logiciel</w:t>
      </w:r>
    </w:p>
    <w:p>
      <w:pPr>
        <w:spacing w:after="140"/>
      </w:pPr>
      <w:r>
        <w:rPr>
          <w:sz w:val="20"/>
          <w:szCs w:val="20"/>
        </w:rPr>
        <w:t xml:space="preserve">Répartition : 22 exigences à risque haut, 9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10:05</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30 cas sur 30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(c41f3fd50b65… ≠ b3ad3a6a2edf…),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cmshcoim…, empreinte attestée 3767 CD80 ACC9, manifestation « Testeur QA1 (QA1) · Approuvé · 06/08/2026 10:05:39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138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2cf9ad9208d004c1…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187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187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8916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33 exigences, 29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10:05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2026-08-06T10:06:05.765Z</dcterms:created>
  <dcterms:modified xsi:type="dcterms:W3CDTF">2026-08-06T10:06:05.765Z</dcterms:modified>
</cp:coreProperties>
</file>

<file path=docProps/custom.xml><?xml version="1.0" encoding="utf-8"?>
<Properties xmlns="http://schemas.openxmlformats.org/officeDocument/2006/custom-properties" xmlns:vt="http://schemas.openxmlformats.org/officeDocument/2006/docPropsVTypes"/>
</file>