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33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Analyse de risque logiciel</w:t>
      </w:r>
    </w:p>
    <w:p>
      <w:pPr>
        <w:spacing w:after="140"/>
      </w:pPr>
      <w:r>
        <w:rPr>
          <w:sz w:val="20"/>
          <w:szCs w:val="20"/>
        </w:rPr>
        <w:t xml:space="preserve">Répartition : 22 exigences à risque haut, 9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5 août 2026 à 19:25</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30 cas sur 30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(94a6e17aeed7… ≠ 2815ae7d17c4…),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10489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cmsgh8uo…, empreinte attestée 3767 CD80 ACC9, manifestation « Testeur QA1 (QA1) · Approuvé · 05/08/2026 19:25:40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(10493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138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b64339ff9bf75bd4…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2036-08-05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187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187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33 exigences, 29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5 août 2026 à 19:25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2026-08-05T19:26:39.918Z</dcterms:created>
  <dcterms:modified xsi:type="dcterms:W3CDTF">2026-08-05T19:26:39.918Z</dcterms:modified>
</cp:coreProperties>
</file>

<file path=docProps/custom.xml><?xml version="1.0" encoding="utf-8"?>
<Properties xmlns="http://schemas.openxmlformats.org/officeDocument/2006/custom-properties" xmlns:vt="http://schemas.openxmlformats.org/officeDocument/2006/docPropsVTypes"/>
</file>