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Two qualification cases exercise it, one of which re-reads the source code to forbid any write outside the single chokepoint.</w:t>
            </w:r>
          </w:p>
        </w:tc>
        <w:tc>
          <w:tcPr>
            <w:tcW w:type="pct" w:w="25%"/>
            <w:tcMar>
              <w:top w:type="dxa" w:w="80"/>
              <w:left w:type="dxa" w:w="110"/>
              <w:bottom w:type="dxa" w:w="80"/>
              <w:right w:type="dxa" w:w="110"/>
            </w:tcMar>
          </w:tcPr>
          <w:p>
            <w:pPr>
              <w:spacing w:after="0"/>
            </w:pPr>
            <w:r>
              <w:rPr>
                <w:sz w:val="17"/>
                <w:szCs w:val="17"/>
              </w:rPr>
              <w:t xml:space="preserve">The periodic review of the trail, its frequency, and its recording. Filum makes the trail viewable and verifiable; it does not yet organise the review itself nor its record.</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2026-08-05T19:26:29.359Z</dcterms:created>
  <dcterms:modified xsi:type="dcterms:W3CDTF">2026-08-05T19:26:29.360Z</dcterms:modified>
</cp:coreProperties>
</file>

<file path=docProps/custom.xml><?xml version="1.0" encoding="utf-8"?>
<Properties xmlns="http://schemas.openxmlformats.org/officeDocument/2006/custom-properties" xmlns:vt="http://schemas.openxmlformats.org/officeDocument/2006/docPropsVTypes"/>
</file>