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39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bl>
    <w:p>
      <w:pPr>
        <w:pStyle w:val="Heading2"/>
        <w:spacing w:after="140" w:before="320"/>
      </w:pPr>
      <w:r>
        <w:t xml:space="preserve">4. Analyse de risque logiciel</w:t>
      </w:r>
    </w:p>
    <w:p>
      <w:pPr>
        <w:spacing w:after="140"/>
      </w:pPr>
      <w:r>
        <w:rPr>
          <w:sz w:val="20"/>
          <w:szCs w:val="20"/>
        </w:rPr>
        <w:t xml:space="preserve">Répartition : 25 exigences à risque haut, 12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7 août 2026 à 09:04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36 cas sur 36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(b51b47a89425… ≠ e5f7648a7846…),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cmsipxsn…, empreinte attestée 3767 CD80 ACC9, manifestation « Testeur QA1 (QA1) · Approuvé · 07/08/2026 09:04:33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154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b0bd8c6833b205ae…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2036-08-07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34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209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51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209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8972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188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(69088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07/08/2026 09:04:45 UTC · enregistrement DF2C 80CE D134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39 exigences, 35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7 août 2026 à 09:04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2026-08-07T09:16:49.527Z</dcterms:created>
  <dcterms:modified xsi:type="dcterms:W3CDTF">2026-08-07T09:16:49.527Z</dcterms:modified>
</cp:coreProperties>
</file>

<file path=docProps/custom.xml><?xml version="1.0" encoding="utf-8"?>
<Properties xmlns="http://schemas.openxmlformats.org/officeDocument/2006/custom-properties" xmlns:vt="http://schemas.openxmlformats.org/officeDocument/2006/docPropsVTypes"/>
</file>