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34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bl>
    <w:p>
      <w:pPr>
        <w:pStyle w:val="Heading2"/>
        <w:spacing w:after="140" w:before="320"/>
      </w:pPr>
      <w:r>
        <w:t xml:space="preserve">4. Analyse de risque logiciel</w:t>
      </w:r>
    </w:p>
    <w:p>
      <w:pPr>
        <w:spacing w:after="140"/>
      </w:pPr>
      <w:r>
        <w:rPr>
          <w:sz w:val="20"/>
          <w:szCs w:val="20"/>
        </w:rPr>
        <w:t xml:space="preserve">Répartition : 22 exigences à risque haut, 10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12:48</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31 cas sur 31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(e35a7a10d9dc… ≠ bc6b81eaf761…),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cmshihvb…, empreinte attestée 3767 CD80 ACC9, manifestation « Testeur QA1 (QA1) · Approuvé · 06/08/2026 12:48:27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143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42 fichier(s) couverts par empreintes.sha256, 0 écart ; ancre 21f27befcc9b7839…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195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195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9070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(69087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34 exigences, 30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12:48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2026-08-06T12:49:55.105Z</dcterms:created>
  <dcterms:modified xsi:type="dcterms:W3CDTF">2026-08-06T12:49:55.105Z</dcterms:modified>
</cp:coreProperties>
</file>

<file path=docProps/custom.xml><?xml version="1.0" encoding="utf-8"?>
<Properties xmlns="http://schemas.openxmlformats.org/officeDocument/2006/custom-properties" xmlns:vt="http://schemas.openxmlformats.org/officeDocument/2006/docPropsVTypes"/>
</file>