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Manual tecnico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( agregar  los  objetivos  específicos y  organizar la tabla de contenido)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red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Documento de pruebas funcionales- caja negra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organizalo 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Karen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Pruebas Automatizadas.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Juan David.- Karen.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Modificaciones en en el código dentro del crud 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Gloria- Wilmar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En el registro poner un mensaje de “registrado” (mensajes de validaciones.)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-Gloria-Wilmar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Recuperar contraseña prototipo.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Prototipo no funcional. 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Nota: Plazo máximo para todo 04 Junio 2021.</w:t>
        <w:br w:type="textWrapping"/>
        <w:t xml:space="preserve">08:00 pm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Preparar la exposición 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Solución de  observaciones  exposición del 4 trimestre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79641802*2021-03-07 12:27:53*Buen proyecto, se evidencia trabajo en grupo, me gustaría que se validaran los objetivos secundarios, buen detalle en el diagrama de gantt y la parte presupuestal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