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 de trabajo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Fortalecer una rueda de negocio Agending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Felipe Rincón </w:t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Juan David Martin </w:t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Gloria Stefany bohorquez 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Karen Bustamante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una herramienta que permita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el encuentro entre emprendedores, empresarios, inversores e instituciones que buscan lograr acuerdos para abrir oportunidades de compra o venta de servicios, productos o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creando un ambiente propicio para negociaciones, promueve los contactos entre empresarios, instituciones y organizaciones que desean entrevistarse para realizar negocios, desarrollar relaciones asociativas o alianzas estratégicas.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Acciones por realizar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4445</wp:posOffset>
            </wp:positionV>
            <wp:extent cx="7723505" cy="4320540"/>
            <wp:effectExtent b="0" l="0" r="0" t="0"/>
            <wp:wrapSquare wrapText="bothSides" distB="0" distT="0" distL="114300" distR="11430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3505" cy="432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Tiempo de ejecución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612130" cy="207137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Estrategias por implementar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La comunicación.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El compromiso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La evaluación del impacto del cambio y preparación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 el mismo.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El aprendizaje.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en equipo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Participantes del proyecto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Felipe Rincón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Juan David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Karen Bustamante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Gloria Stefany Bohórquez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Responsables de las acciones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5.000000000002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6"/>
        <w:gridCol w:w="2126"/>
        <w:gridCol w:w="1846"/>
        <w:gridCol w:w="1167"/>
        <w:tblGridChange w:id="0">
          <w:tblGrid>
            <w:gridCol w:w="3656"/>
            <w:gridCol w:w="2126"/>
            <w:gridCol w:w="1846"/>
            <w:gridCol w:w="1167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por realizar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Puesto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Firma</w:t>
            </w:r>
          </w:p>
        </w:tc>
      </w:tr>
      <w:tr>
        <w:trPr>
          <w:trHeight w:val="112" w:hRule="atLeast"/>
        </w:trPr>
        <w:tc>
          <w:tcPr>
            <w:tcBorders>
              <w:top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Diagrama de distribución ,diagrama de flujo y prototipo.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Felipe Rincón</w:t>
            </w:r>
          </w:p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Líder -bakend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" w:hRule="atLeast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Modelo entidad relación , modelo relacional , diagrama de clases </w:t>
            </w:r>
          </w:p>
        </w:tc>
        <w:tc>
          <w:tcPr>
            <w:tcBorders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Juan Martin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Backend 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" w:hRule="atLeast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Diagramas de casos de usos y plantilla gestión del proyecto.</w:t>
            </w:r>
          </w:p>
        </w:tc>
        <w:tc>
          <w:tcPr>
            <w:tcBorders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Karen Bustamante </w:t>
            </w:r>
          </w:p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fronet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" w:hRule="atLeast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Req. Funcionales y no funcionales.</w:t>
            </w:r>
          </w:p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Diagrama de flujo.</w:t>
            </w:r>
          </w:p>
        </w:tc>
        <w:tc>
          <w:tcPr>
            <w:tcBorders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Gloria Bohórquez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Fronet 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Recursos necesarios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highlight w:val="white"/>
          <w:rtl w:val="0"/>
        </w:rPr>
        <w:t xml:space="preserve">Para que nuestro plan de proyecto sea integral y eficaz, debe tener en cuenta </w:t>
      </w:r>
      <w:r w:rsidDel="00000000" w:rsidR="00000000" w:rsidRPr="00000000">
        <w:rPr>
          <w:rFonts w:ascii="Arial" w:cs="Arial" w:eastAsia="Arial" w:hAnsi="Arial"/>
          <w:b w:val="1"/>
          <w:color w:val="1a1a1a"/>
          <w:highlight w:val="white"/>
          <w:rtl w:val="0"/>
        </w:rPr>
        <w:t xml:space="preserve">todos los recursos</w:t>
      </w:r>
      <w:r w:rsidDel="00000000" w:rsidR="00000000" w:rsidRPr="00000000">
        <w:rPr>
          <w:rFonts w:ascii="Arial" w:cs="Arial" w:eastAsia="Arial" w:hAnsi="Arial"/>
          <w:color w:val="1a1a1a"/>
          <w:highlight w:val="white"/>
          <w:rtl w:val="0"/>
        </w:rPr>
        <w:t xml:space="preserve"> que influyen en la capacidad de la empresa para crear y entregar sus valores principales. 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highlight w:val="white"/>
          <w:rtl w:val="0"/>
        </w:rPr>
        <w:t xml:space="preserve">Computador de mesa, portátil, internet , 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Objetivos generales y específicos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 General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Implementar una herramienta que facilite la gestión de citas y automatización en el proceso de agendamiento para las ruedas de negocios.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Desarrollar un sistema de información interactivo que permite la gestión de citas Online.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Aplicar distintos métodos para la recolección de información para determinar la funcionalidad del sistema.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Diseñar un software funcional en plataformas web como dispositivos móviles.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Indicadores de cumplimiento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612130" cy="4486275"/>
            <wp:effectExtent b="0" l="0" r="0" t="0"/>
            <wp:docPr descr="Tabla&#10;&#10;Descripción generada automáticamente" id="24" name="image2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109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Fecha de aprobación: </w:t>
      </w:r>
      <w:r w:rsidDel="00000000" w:rsidR="00000000" w:rsidRPr="00000000">
        <w:rPr>
          <w:rtl w:val="0"/>
        </w:rPr>
        <w:t xml:space="preserve">(19-02-2021.)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Fecha de revisión próxima: </w:t>
      </w:r>
      <w:r w:rsidDel="00000000" w:rsidR="00000000" w:rsidRPr="00000000">
        <w:rPr>
          <w:rtl w:val="0"/>
        </w:rPr>
        <w:t xml:space="preserve">(20-02-2021)</w:t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240" w:lineRule="auto"/>
        <w:jc w:val="center"/>
        <w:rPr/>
      </w:pPr>
      <w:r w:rsidDel="00000000" w:rsidR="00000000" w:rsidRPr="00000000">
        <w:rPr>
          <w:rtl w:val="0"/>
        </w:rPr>
        <w:t xml:space="preserve">Autoriza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948070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1965" y="3780000"/>
                          <a:ext cx="1948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948070" cy="12700"/>
                <wp:effectExtent b="0" l="0" r="0" t="0"/>
                <wp:wrapTopAndBottom distB="0" distT="0"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80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de quién autoriza)</w:t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(Puesto de quién autoriza)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7" w:top="1417" w:left="1701" w:right="1701" w:header="5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>
        <w:i w:val="1"/>
        <w:sz w:val="24"/>
        <w:szCs w:val="24"/>
      </w:rPr>
    </w:pPr>
    <w:r w:rsidDel="00000000" w:rsidR="00000000" w:rsidRPr="00000000">
      <w:rPr>
        <w:i w:val="1"/>
        <w:sz w:val="24"/>
        <w:szCs w:val="24"/>
        <w:rtl w:val="0"/>
      </w:rPr>
      <w:t xml:space="preserve">  1pág. </w:t>
    </w:r>
    <w:r w:rsidDel="00000000" w:rsidR="00000000" w:rsidRPr="00000000">
      <w:rPr>
        <w:i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24"/>
        <w:szCs w:val="24"/>
        <w:rtl w:val="0"/>
      </w:rPr>
      <w:t xml:space="preserve">1</w:t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-1051558</wp:posOffset>
          </wp:positionH>
          <wp:positionV relativeFrom="paragraph">
            <wp:posOffset>-38733</wp:posOffset>
          </wp:positionV>
          <wp:extent cx="7705725" cy="1028700"/>
          <wp:effectExtent b="0" l="0" r="0" t="0"/>
          <wp:wrapSquare wrapText="bothSides" distB="0" distT="0" distL="114300" distR="114300"/>
          <wp:docPr id="2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5725" cy="1028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444500</wp:posOffset>
              </wp:positionV>
              <wp:extent cx="2630170" cy="408319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40440" y="3618075"/>
                        <a:ext cx="261112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badi" w:cs="Abadi" w:eastAsia="Abadi" w:hAnsi="Abadi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Plan de Trabajo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444500</wp:posOffset>
              </wp:positionV>
              <wp:extent cx="2630170" cy="408319"/>
              <wp:effectExtent b="0" l="0" r="0" t="0"/>
              <wp:wrapNone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0170" cy="4083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1379"/>
  </w:style>
  <w:style w:type="paragraph" w:styleId="Piedepgina">
    <w:name w:val="footer"/>
    <w:basedOn w:val="Normal"/>
    <w:link w:val="PiedepginaCar"/>
    <w:uiPriority w:val="99"/>
    <w:unhideWhenUsed w:val="1"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137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8529EE"/>
    <w:pPr>
      <w:spacing w:after="0" w:line="240" w:lineRule="auto"/>
    </w:pPr>
    <w:rPr>
      <w:rFonts w:asciiTheme="minorHAnsi" w:cstheme="minorBidi" w:eastAsiaTheme="minorHAnsi" w:hAnsiTheme="minorHAnsi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529EE"/>
    <w:pPr>
      <w:spacing w:line="360" w:lineRule="auto"/>
      <w:ind w:left="720"/>
      <w:contextualSpacing w:val="1"/>
      <w:jc w:val="both"/>
    </w:pPr>
    <w:rPr>
      <w:rFonts w:ascii="Times New Roman" w:hAnsi="Times New Roman" w:cstheme="minorBidi" w:eastAsiaTheme="minorHAnsi"/>
      <w:sz w:val="24"/>
      <w:lang w:eastAsia="en-US" w:val="es-MX"/>
    </w:rPr>
  </w:style>
  <w:style w:type="paragraph" w:styleId="NormalWeb">
    <w:name w:val="Normal (Web)"/>
    <w:basedOn w:val="Normal"/>
    <w:uiPriority w:val="99"/>
    <w:semiHidden w:val="1"/>
    <w:unhideWhenUsed w:val="1"/>
    <w:rsid w:val="008529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paragraph" w:styleId="trt0xe" w:customStyle="1">
    <w:name w:val="trt0xe"/>
    <w:basedOn w:val="Normal"/>
    <w:rsid w:val="008529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 w:val="1"/>
    <w:rsid w:val="008529E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ydD9AshETOAnkLtd5iEvxqm6Hw==">AMUW2mWchcZK/aIo3e1Pd1ExSjGoGPHhsFk3E9bCr2tK1pO3tKUWUNx/nnPxUfSnIR0OyrrYoIJE50It+079/u9ARUPFv5R7wHFBPxb7D8nR1WK32j2Qf24=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2020-11-23T20:27:00Z</dcterms:created>
  <dc:creator>wilmar.rincon@linktic.com</dc:creator>
</cp:coreProperties>
</file>