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60" w:before="0"/>
        <w:ind w:firstLine="0"/>
        <w:jc w:val="left"/>
      </w:pPr>
      <w:r>
        <w:rPr>
          <w:rFonts w:ascii="Times New Roman" w:hAnsi="Times New Roman" w:eastAsia="Times New Roman"/>
          <w:b w:val="0"/>
          <w:sz w:val="20"/>
        </w:rPr>
        <w:t>УДК 004.8:004.93</w:t>
      </w:r>
    </w:p>
    <w:p>
      <w:pPr>
        <w:spacing w:line="240" w:lineRule="auto" w:after="60" w:before="0"/>
        <w:ind w:firstLine="397"/>
        <w:jc w:val="both"/>
      </w:pPr>
      <w:r>
        <w:rPr>
          <w:rFonts w:ascii="Times New Roman" w:hAnsi="Times New Roman" w:eastAsia="Times New Roman"/>
          <w:b/>
          <w:sz w:val="20"/>
        </w:rPr>
        <w:t>Бюджетированный локальный аудит решений моделей машинного обучения на временных рядах: метод BEACON-XAI и базовая валидация</w:t>
      </w:r>
    </w:p>
    <w:p>
      <w:pPr>
        <w:jc w:val="center"/>
      </w:pPr>
      <w:r>
        <w:rPr>
          <w:rFonts w:ascii="Times New Roman" w:hAnsi="Times New Roman" w:eastAsia="Times New Roman"/>
          <w:b/>
          <w:i w:val="0"/>
          <w:sz w:val="20"/>
        </w:rPr>
        <w:t>Budgeted Local Audit of Machine Learning Model Decisions on Time Series: BEACON-XAI Method and Basic Validation</w:t>
      </w:r>
    </w:p>
    <w:p>
      <w:pPr>
        <w:spacing w:after="60"/>
        <w:jc w:val="center"/>
      </w:pPr>
      <w:r>
        <w:rPr>
          <w:rFonts w:ascii="Times New Roman" w:hAnsi="Times New Roman"/>
          <w:sz w:val="20"/>
        </w:rPr>
        <w:t>Трофимов Юрий Владиславович1, Лебедев Михаил Дмитриевич2, Лебедев Александр Дмитриевич3, Аверкин Алексей4</w:t>
      </w:r>
    </w:p>
    <w:p>
      <w:pPr>
        <w:spacing w:after="0" w:before="0"/>
        <w:jc w:val="left"/>
      </w:pPr>
      <w:r>
        <w:rPr>
          <w:rFonts w:ascii="Times New Roman" w:hAnsi="Times New Roman"/>
          <w:sz w:val="20"/>
        </w:rPr>
        <w:t>1 Младший научный сотрудник; Государственный университет «Дубна»; 141980, Московская область, г. Дубна, ул. Университетская, 19; инженер-программист; Объединённый институт ядерных исследований; 141980, Московская область, г. Дубна; e-mail: ytrofimov@jinr.ru.</w:t>
      </w:r>
    </w:p>
    <w:p>
      <w:pPr>
        <w:spacing w:after="0" w:before="0"/>
        <w:jc w:val="left"/>
      </w:pPr>
      <w:r>
        <w:rPr>
          <w:rFonts w:ascii="Times New Roman" w:hAnsi="Times New Roman"/>
          <w:sz w:val="20"/>
        </w:rPr>
        <w:t>2 Студент; Национальный исследовательский технологический университет «МИСИС»; Россия, 119049, г. Москва; e-mail: lebedevmisha2003@gmail.ru.</w:t>
      </w:r>
    </w:p>
    <w:p>
      <w:pPr>
        <w:spacing w:after="0" w:before="0"/>
        <w:jc w:val="left"/>
      </w:pPr>
      <w:r>
        <w:rPr>
          <w:rFonts w:ascii="Times New Roman" w:hAnsi="Times New Roman"/>
          <w:sz w:val="20"/>
        </w:rPr>
        <w:t>3 Студент; Государственный университет «Дубна»; 141980, Московская область, г. Дубна, ул. Университетская, 19; e-mail: lad.24@uni-dubna.ru.</w:t>
      </w:r>
    </w:p>
    <w:p>
      <w:pPr>
        <w:spacing w:after="0" w:before="0"/>
        <w:jc w:val="left"/>
      </w:pPr>
      <w:r>
        <w:rPr>
          <w:rFonts w:ascii="Times New Roman" w:hAnsi="Times New Roman"/>
          <w:sz w:val="20"/>
        </w:rPr>
        <w:t>4 Кандидат физико-математических наук, доцент; Государственный университет «Дубна»; 141980, Московская область, г. Дубна, ул. Университетская, 19; e-mail: averkin2003@inbox.ru.</w:t>
      </w:r>
    </w:p>
    <w:p>
      <w:pPr>
        <w:pStyle w:val="Heading2"/>
        <w:spacing w:line="240" w:lineRule="auto" w:before="0" w:after="60"/>
        <w:ind w:firstLine="0"/>
        <w:jc w:val="left"/>
      </w:pPr>
      <w:r>
        <w:rPr>
          <w:rFonts w:ascii="Times New Roman" w:hAnsi="Times New Roman" w:eastAsia="Times New Roman"/>
          <w:b/>
          <w:sz w:val="20"/>
        </w:rPr>
        <w:t>Аннотация</w:t>
      </w:r>
    </w:p>
    <w:p>
      <w:pPr>
        <w:spacing w:line="240" w:lineRule="auto" w:after="60" w:before="0"/>
        <w:ind w:firstLine="397"/>
        <w:jc w:val="both"/>
      </w:pPr>
      <w:r>
        <w:t xml:space="preserve">Проблема. Полные локальные объяснения решений моделей машинного обучения часто требуют десятков и сотен обращений к модели, что затрудняет их применение в ресурсно-ограниченных периферийных системах и при потоковой обработке сенсорных временных рядов. Цель работы состоит в формализации задачи бюджетированного локального аудита и разработке метода, который при фиксированном числе запросов возвращает краткий список компонентов, противоречащих текущему решению модели. Методы. Предложен метод BEACON-XAI, основанный на адаптивной марже текущего класса, знаковом эффекте нейтрализации компонента, разделении локальной поддержки и конфликта, а также двухосевой панели «конфликт-хрупкость». Рассмотрены режимы BEACON-core для устойчивого построения ранга компонентов и BEACON-adaptive для раннего выбора подозрительных фрагментов. Результаты. На наборе PAMAP2 при бюджете </w:t>
      </w:r>
      <m:oMath>
        <m:r>
          <m:rPr>
            <m:sty m:val="p"/>
          </m:rPr>
          <m:t xml:space="preserve">Q=16</m:t>
        </m:r>
      </m:oMath>
      <w:r>
        <w:t xml:space="preserve"> BEACON-XAI достигает hit@3=0,371 и MRR=0,322 против 0,211 и 0,205 у равнозатратной uniform occlusion. Для hit@3 95% доверительный интервал Уилсона составляет [0,314; 0,432], тогда как у uniform occlusion он равен [0,165; 0,265]. RISE-style masking показывает более высокие значения ряда метрик только при 64-512 обращениях к модели и поэтому используется как дорогой ориентир качества. Дополнительно показано, что единая компонентная сетка позволяет корректно сопоставлять BEACON-XAI с маскирующими методами. Значимость. Работа задает воспроизводимую постановку бюджетированного аудита временных рядов и показывает, что знаковая интерпретация эффекта нейтрализации позволяет получить содержательный локальный диагностический результат без построения полной карты важности.</w:t>
      </w:r>
    </w:p>
    <w:p>
      <w:pPr>
        <w:spacing w:line="240" w:lineRule="auto" w:after="60" w:before="0"/>
        <w:ind w:firstLine="0"/>
        <w:jc w:val="left"/>
      </w:pPr>
      <w:r>
        <w:rPr>
          <w:rFonts w:ascii="Times New Roman" w:hAnsi="Times New Roman" w:eastAsia="Times New Roman"/>
          <w:b w:val="0"/>
          <w:sz w:val="20"/>
        </w:rPr>
        <w:t>Ключевые слова: искусственный интеллект; объяснимое машинное обучение; временные ряды; сенсорные данные; локальный аудит; бюджетированные объяснения; BEACON-XAI.</w:t>
      </w:r>
    </w:p>
    <w:p>
      <w:pPr>
        <w:pStyle w:val="Heading2"/>
        <w:spacing w:line="240" w:lineRule="auto" w:before="0" w:after="60"/>
        <w:ind w:firstLine="0"/>
        <w:jc w:val="left"/>
      </w:pPr>
      <w:r>
        <w:rPr>
          <w:rFonts w:ascii="Times New Roman" w:hAnsi="Times New Roman" w:eastAsia="Times New Roman"/>
          <w:b/>
          <w:sz w:val="20"/>
        </w:rPr>
        <w:t>Abstract</w:t>
      </w:r>
    </w:p>
    <w:p>
      <w:pPr>
        <w:spacing w:line="240" w:lineRule="auto" w:after="60" w:before="0"/>
        <w:ind w:firstLine="397"/>
        <w:jc w:val="both"/>
      </w:pPr>
      <w:r>
        <w:t>The paper introduces BEACON-XAI, a budgeted local audit method for time-series model decisions. Instead of constructing a full attribution map, the method uses a fixed number of model queries to return a short list of components that locally contradict the current decision and to build a diagnostic conflict-fragility panel. The method is evaluated on PAMAP2 and WISDM component localization tasks. On PAMAP2, at Q=16 model queries, BEACON-XAI achieves hit@3=0.371 and MRR=0.322 compared with 0.211 and 0.205 for equal-cost uniform occlusion. The results support the usefulness of a query-budgeted audit protocol for resource-constrained edge scenarios.</w:t>
      </w:r>
    </w:p>
    <w:p>
      <w:pPr>
        <w:spacing w:line="240" w:lineRule="auto" w:after="60" w:before="0"/>
        <w:ind w:firstLine="0"/>
        <w:jc w:val="left"/>
      </w:pPr>
      <w:r>
        <w:rPr>
          <w:rFonts w:ascii="Times New Roman" w:hAnsi="Times New Roman" w:eastAsia="Times New Roman"/>
          <w:b w:val="0"/>
          <w:sz w:val="20"/>
        </w:rPr>
        <w:t>Keywords: explainable artificial intelligence; time series; local audit; sensor data; budgeted explanation; BEACON-XAI.</w:t>
      </w:r>
    </w:p>
    <w:p>
      <w:pPr>
        <w:pStyle w:val="Heading1"/>
        <w:spacing w:line="240" w:lineRule="auto" w:before="0" w:after="60"/>
        <w:ind w:firstLine="0"/>
        <w:jc w:val="left"/>
      </w:pPr>
      <w:r>
        <w:rPr>
          <w:rFonts w:ascii="Times New Roman" w:hAnsi="Times New Roman" w:eastAsia="Times New Roman"/>
          <w:b/>
          <w:sz w:val="20"/>
        </w:rPr>
        <w:t>1. Введение</w:t>
      </w:r>
    </w:p>
    <w:p>
      <w:pPr>
        <w:spacing w:line="240" w:lineRule="auto" w:after="60" w:before="0"/>
        <w:ind w:firstLine="397"/>
        <w:jc w:val="both"/>
      </w:pPr>
      <w:r>
        <w:rPr>
          <w:rFonts w:ascii="Times New Roman" w:hAnsi="Times New Roman" w:eastAsia="Times New Roman"/>
          <w:b w:val="0"/>
          <w:sz w:val="20"/>
        </w:rPr>
        <w:t>В объяснимом машинном обучении локальная интерпретация часто сводится к построению полной карты важности признаков или временных фрагментов. К этому классу относятся LIME, SHAP, Integrated Gradients и RISE, поскольку они стремятся восстановить карту влияния входных элементов или приблизить вклад признаков в конкретное решение [1–4]. Для автономного анализа такая постановка естественна, однако в ресурсно-ограниченных периферийных системах она становится слишком дорогой. В носимых устройствах, сенсорных контроллерах и периферийных узлах каждое дополнительное обращение к модели увеличивает задержку, расход энергии и требования к памяти [22–24]. В таких условиях оператору или встроенной политике часто нужен не полный рисунок важности, а короткий ответ на более практический вопрос: есть ли во входе фрагмент, который спорит с текущим решением модели, и насколько прочной остается поддержка этого решения.</w:t>
      </w:r>
    </w:p>
    <w:p>
      <w:pPr>
        <w:spacing w:line="240" w:lineRule="auto" w:after="60" w:before="0"/>
        <w:ind w:firstLine="397"/>
        <w:jc w:val="both"/>
      </w:pPr>
      <w:r>
        <w:rPr>
          <w:rFonts w:ascii="Times New Roman" w:hAnsi="Times New Roman" w:eastAsia="Times New Roman"/>
          <w:b w:val="0"/>
          <w:sz w:val="20"/>
        </w:rPr>
        <w:t>Именно из этого ограничения следует постановка бюджетированного локального аудита. Она уже, чем классическая атрибуция и методы маскирования временных рядов [5–8, 17, 26], поскольку ее цель состоит не в восстановлении полной функции важности. Требуется построить короткий список подозрительных компонентов и одновременно дать диагностическую панель, разделяющую два вида ненадежности. Первый связан с конфликтом, когда удаление некоторого фрагмента стабилизирует текущее решение. Второй связан с хрупкостью, когда решение держится на малом запасе устойчивости поддерживающих компонентов.</w:t>
      </w:r>
    </w:p>
    <w:p>
      <w:pPr>
        <w:spacing w:line="240" w:lineRule="auto" w:after="60" w:before="0"/>
        <w:ind w:firstLine="397"/>
        <w:jc w:val="both"/>
      </w:pPr>
      <w:r>
        <w:rPr>
          <w:rFonts w:ascii="Times New Roman" w:hAnsi="Times New Roman" w:eastAsia="Times New Roman"/>
          <w:b w:val="0"/>
          <w:sz w:val="20"/>
        </w:rPr>
        <w:t>Метод BEACON-XAI решает эту задачу в режиме черного ящика и использует фиксированный бюджет запросов. Поэтому он отличается от градиентных методов, которые неприменимы к недифференцируемым классификаторам [3], от методов возмущений, обычно требующих сотен или тысяч обращений к модели [1, 2, 4], а также от контрфактуальных подходов и методов поиска корректирующих действий, где решается иная задача изменения входа или выбора действия [12–15]. Основной вклад работы состоит в формальной постановке бюджетированного аудита, определении знаковых индикаторов конфликта и хрупкости, описании двух режимов поиска компонентов и экспериментальной проверке на временных рядах с дополнительным табличным пилотом.</w:t>
      </w:r>
    </w:p>
    <w:p>
      <w:pPr>
        <w:spacing w:line="240" w:lineRule="auto" w:after="60" w:before="0"/>
        <w:ind w:firstLine="397"/>
        <w:jc w:val="both"/>
      </w:pPr>
      <w:r>
        <w:rPr>
          <w:rFonts w:ascii="Times New Roman" w:hAnsi="Times New Roman" w:eastAsia="Times New Roman"/>
          <w:b w:val="0"/>
          <w:sz w:val="20"/>
        </w:rPr>
        <w:t>Содержательно работа относится к направлению 1.2.1 «Искусственный интеллект и машинное обучение». Она предлагает алгоритмический метод анализа решений моделей, формализует локальную надежность классификатора через запросы к модели и проверяет предложенную процедуру на задачах классификации сенсорных и табличных данных. Настоящая статья является первой частью исследования: в ней рассматриваются формальная постановка, алгоритмический аппарат и базовая проверка метода на задаче компонентной локализации временных рядов.</w:t>
      </w:r>
    </w:p>
    <w:p>
      <w:pPr>
        <w:spacing w:line="240" w:lineRule="auto" w:after="60" w:before="0"/>
        <w:ind w:firstLine="397"/>
        <w:jc w:val="both"/>
      </w:pPr>
      <w:r>
        <w:rPr>
          <w:rFonts w:ascii="Times New Roman" w:hAnsi="Times New Roman" w:eastAsia="Times New Roman"/>
          <w:b w:val="0"/>
          <w:sz w:val="20"/>
        </w:rPr>
        <w:t>Полная карта важности полезна тогда, когда исследователь анализирует модель в автономном режиме и может позволить себе многократное маскирование входа. В периферийном сценарии задача обычно другая: система должна быстро понять, существует ли во входе фрагмент, который локально уменьшает запас текущего решения, и достаточно ли прочной является поддержка этого решения. Поэтому в данной работе объяснение рассматривается как аудит с ограниченным бюджетом, а не как восстановление полной функции важности.</w:t>
      </w:r>
    </w:p>
    <w:p>
      <w:pPr>
        <w:spacing w:line="240" w:lineRule="auto" w:after="60" w:before="0"/>
        <w:ind w:firstLine="397"/>
        <w:jc w:val="both"/>
      </w:pPr>
      <w:r>
        <w:rPr>
          <w:rFonts w:ascii="Times New Roman" w:hAnsi="Times New Roman" w:eastAsia="Times New Roman"/>
          <w:b w:val="0"/>
          <w:sz w:val="20"/>
        </w:rPr>
        <w:t>Такое смещение постановки особенно важно для временных рядов. Компонентом здесь может быть временное окно, канал, сенсорная группа или их комбинация. Полный перебор становится дорогим уже при умеренной детализации, тогда как ранняя локализация нескольких подозрительных компонентов может быть достаточной для последующей проверки, эскалации или записи окна в журнал диагностики.</w:t>
      </w:r>
    </w:p>
    <w:p>
      <w:pPr>
        <w:spacing w:line="240" w:lineRule="auto" w:after="60" w:before="0"/>
        <w:ind w:firstLine="397"/>
        <w:jc w:val="both"/>
      </w:pPr>
      <w:r>
        <w:rPr>
          <w:rFonts w:ascii="Times New Roman" w:hAnsi="Times New Roman" w:eastAsia="Times New Roman"/>
          <w:b w:val="0"/>
          <w:sz w:val="20"/>
        </w:rPr>
        <w:t>Отдельно следует подчеркнуть отличие от обычной occlusion-процедуры. Окклюзия является операцией измерения эффекта компонента. BEACON использует эту операцию как часть протокола, но затем разделяет эффекты по знаку, агрегирует конфликт и поддержку отдельно, оценивает стоимость разрушения поддержки и интерпретирует результат через двухосевую панель.</w:t>
      </w:r>
    </w:p>
    <w:p>
      <w:pPr>
        <w:spacing w:line="240" w:lineRule="auto" w:after="60" w:before="0"/>
        <w:ind w:firstLine="397"/>
        <w:jc w:val="both"/>
      </w:pPr>
      <w:r>
        <w:rPr>
          <w:rFonts w:ascii="Times New Roman" w:hAnsi="Times New Roman" w:eastAsia="Times New Roman"/>
          <w:b w:val="0"/>
          <w:sz w:val="20"/>
        </w:rPr>
        <w:t>В этом смысле BEACON-XAI ближе к диагностической процедуре, чем к универсальному объяснителю. Метод задает вопрос о локальном противоречии и хрупкости: какие проверенные компоненты мешают текущему решению, какие его поддерживают и насколько быстро поддержка разрушается при нейтрализации сильных положительных вкладов.</w:t>
      </w:r>
    </w:p>
    <w:p>
      <w:pPr>
        <w:spacing w:line="240" w:lineRule="auto" w:after="60" w:before="0"/>
        <w:ind w:firstLine="397"/>
        <w:jc w:val="both"/>
      </w:pPr>
      <w:r>
        <w:rPr>
          <w:rFonts w:ascii="Times New Roman" w:hAnsi="Times New Roman" w:eastAsia="Times New Roman"/>
          <w:b w:val="0"/>
          <w:sz w:val="20"/>
        </w:rPr>
        <w:t>Это различие существенно для ресурсно-ограниченного сценария. Если требуется получить полную карту важности, то бюджет запросов должен покрывать значительную часть компонентной сетки или множество случайных масок. Если же требуется определить, есть ли во входе компонент, который уменьшает маржу уже выбранного класса, достаточно проверить ограниченное число кандидатов и вернуть краткий список для последующего анализа.</w:t>
      </w:r>
    </w:p>
    <w:p>
      <w:pPr>
        <w:spacing w:line="240" w:lineRule="auto" w:after="60" w:before="0"/>
        <w:ind w:firstLine="397"/>
        <w:jc w:val="both"/>
      </w:pPr>
      <w:r>
        <w:rPr>
          <w:rFonts w:ascii="Times New Roman" w:hAnsi="Times New Roman" w:eastAsia="Times New Roman"/>
          <w:b w:val="0"/>
          <w:sz w:val="20"/>
        </w:rPr>
        <w:t>Предложенная постановка связана с методами локальной интерпретации, но не совпадает с ними по цели. LIME и KernelSHAP строят локальную аппроксимацию вклада признаков, RISE оценивает влияние случайных масок, а методы динамических масок для временных рядов стремятся выделить существенные интервалы входа. BEACON-XAI использует похожий низкоуровневый механизм возмущения, однако итогом является не полная карта важности, а ограниченный аудит текущего решения.</w:t>
      </w:r>
    </w:p>
    <w:p>
      <w:pPr>
        <w:pStyle w:val="Heading1"/>
        <w:spacing w:line="240" w:lineRule="auto" w:after="60" w:before="0"/>
        <w:ind w:firstLine="0"/>
        <w:jc w:val="left"/>
      </w:pPr>
      <w:r>
        <w:rPr>
          <w:rFonts w:ascii="Times New Roman" w:hAnsi="Times New Roman" w:eastAsia="Times New Roman"/>
          <w:b/>
          <w:sz w:val="20"/>
        </w:rPr>
        <w:t>2. Связь с существующими подходами</w:t>
      </w:r>
    </w:p>
    <w:p>
      <w:pPr>
        <w:pStyle w:val="Heading1"/>
        <w:spacing w:line="240" w:lineRule="auto" w:after="60" w:before="0"/>
        <w:ind w:firstLine="0"/>
        <w:jc w:val="left"/>
      </w:pPr>
      <w:r>
        <w:rPr>
          <w:rFonts w:ascii="Times New Roman" w:hAnsi="Times New Roman" w:eastAsia="Times New Roman"/>
          <w:b/>
          <w:sz w:val="20"/>
        </w:rPr>
        <w:t>3. Постановка задачи и математический аппарат</w:t>
      </w:r>
    </w:p>
    <w:p>
      <w:pPr>
        <w:spacing w:line="240" w:lineRule="auto" w:after="60" w:before="0"/>
        <w:ind w:firstLine="397"/>
        <w:jc w:val="both"/>
      </w:pPr>
      <w:r>
        <w:t>Пусть задан обученный классификатор f, входной объект x, предсказанный класс ŷ, разбиение входа на M непересекающихся или слабо перекрывающихся компонентов G={g_1,...,g_M}, оператор нейтрализации N(x,g), заменяющий компонент g нейтральным значением, и бюджет Q, ограничивающий число дополнительных обращений к f. Для многоканального временного ряда компонент обычно соответствует паре «группа сенсоров × временное окно», поэтому одна проверка отвечает не за весь вход, а за локальный участок сигнала.</w:t>
      </w:r>
    </w:p>
    <w:p>
      <w:pPr>
        <w:spacing w:line="240" w:lineRule="auto" w:after="60" w:before="0"/>
        <w:ind w:firstLine="397"/>
        <w:jc w:val="both"/>
      </w:pPr>
      <w:r>
        <w:t>В этих обозначениях требуется построить алгоритм A_Q, который за Q обращений к модели возвращает ранжированный список компонентов L_Q(x), упорядоченный по степени противоречия текущему решению, и диагностическую панель Π_Q(x), отражающую локальный конфликт и хрупкость. Качество ранжирования оценивается метриками loc@1, hit@k, MRR и mean rank. Качество отбора рискованных решений оценивается AUROC, AUPRC, Precision@k и F1 при фиксированном бюджете оповещений.</w:t>
      </w:r>
    </w:p>
    <w:p>
      <w:pPr>
        <w:spacing w:line="240" w:lineRule="auto" w:after="60" w:before="0"/>
        <w:ind w:firstLine="397"/>
        <w:jc w:val="both"/>
      </w:pPr>
      <w:r>
        <w:rPr>
          <w:rFonts w:ascii="Times New Roman" w:hAnsi="Times New Roman" w:eastAsia="Times New Roman"/>
          <w:b w:val="0"/>
          <w:sz w:val="20"/>
        </w:rPr>
        <w:t>Для текущего предсказанного класса сначала вводится адаптивная маржа:</w:t>
      </w:r>
    </w:p>
    <w:p>
      <w:pPr>
        <w:jc w:val="center"/>
      </w:pPr>
      <w:r>
        <w:rPr>
          <w:i/>
        </w:rPr>
        <w:t>m_ŷ(z) = f_ŷ(z) − max_{c≠ŷ} f_c(z)</w:t>
      </w:r>
    </w:p>
    <w:p>
      <w:pPr>
        <w:spacing w:line="240" w:lineRule="auto" w:after="60" w:before="0"/>
        <w:ind w:firstLine="397"/>
        <w:jc w:val="both"/>
      </w:pPr>
      <w:r>
        <w:rPr>
          <w:rFonts w:ascii="Times New Roman" w:hAnsi="Times New Roman" w:eastAsia="Times New Roman"/>
          <w:b w:val="0"/>
          <w:sz w:val="20"/>
        </w:rPr>
        <w:t>Затем для каждого компонента g определяется эффект его нейтрализации:</w:t>
      </w:r>
    </w:p>
    <w:p>
      <w:pPr>
        <w:jc w:val="center"/>
      </w:pPr>
      <w:r>
        <w:rPr>
          <w:i/>
        </w:rPr>
        <w:t>Δ_g(x) = m_ŷ(N(x,g)) − m_ŷ(x)</w:t>
      </w:r>
    </w:p>
    <w:p>
      <w:pPr>
        <w:spacing w:line="240" w:lineRule="auto" w:after="60" w:before="0"/>
        <w:ind w:firstLine="397"/>
        <w:jc w:val="both"/>
      </w:pPr>
      <w:r>
        <w:t>Если Δ_g(x)&gt;0, то удаление компонента увеличивает маржу текущего решения. Такой компонент рассматривается как противоречащее свидетельство в операциональном смысле: его присутствие уменьшает запас уверенности модели в уже выбранном классе. Поэтому Δ_g(x)&gt;0 является модельно-локальным признаком противоречия, а не доказательством физического отказа сенсора. Повышение маржи после нейтрализации может возникать из-за шума, неинформативного участка или локального выхода за распределение данных, поэтому окончательная инженерная трактовка требует внешней диагностики и учета контекста датчика. Если Δ_g(x)&lt;0, то компонент считается поддерживающим свидетельством, так как его удаление уменьшает маржу. В этом различии состоит важная особенность BEACON: метод разделяет поддержку решения и локальное противоречие внутри входа, а не ищет просто «важные» фрагменты.</w:t>
      </w:r>
    </w:p>
    <w:p>
      <w:pPr>
        <w:spacing w:line="240" w:lineRule="auto" w:after="60" w:before="0"/>
        <w:ind w:firstLine="397"/>
        <w:jc w:val="both"/>
      </w:pPr>
      <w:r>
        <w:t>В локально аддитивном случае это определение имеет прямую интерпретацию. Если маржа текущего класса может быть представлена как m_ŷ(x)=b+∑_g φ_g(x), а нейтрализация компонента удаляет его вклад, то Δ_g(x)=-φ_g(x). Тогда положительное значение Δ_g(x) означает, что компонент вносил отрицательный локальный вклад в маржу выбранного класса. Для нелинейных моделей это равенство не является общей гарантией, поэтому BEACON трактуется как локальный запросный аудит решения, а не как восстановление причинной структуры входа.</w:t>
      </w:r>
    </w:p>
    <w:p>
      <w:pPr>
        <w:spacing w:line="240" w:lineRule="auto" w:after="60" w:before="0"/>
        <w:ind w:firstLine="397"/>
        <w:jc w:val="both"/>
      </w:pPr>
      <w:r>
        <w:t>Пусть B_Q обозначает множество компонентов, проверенных в рамках бюджета Q. Оно делится на множество противоречащих компонентов B_Q^-={g∈B_Q: Δ_g(x)&gt;0} и множество поддерживающих компонентов B_Q^+={g∈B_Q: Δ_g(x)&lt;0}. Масса противоречащих свидетельств задается суммой положительных эффектов:</w:t>
      </w:r>
    </w:p>
    <w:p>
      <w:pPr>
        <w:jc w:val="center"/>
      </w:pPr>
      <w:r>
        <w:rPr>
          <w:i/>
        </w:rPr>
        <w:t>M_B^- = ∑_{g∈B_Q^-} Δ_g</w:t>
      </w:r>
    </w:p>
    <w:p>
      <w:pPr>
        <w:spacing w:line="240" w:lineRule="auto" w:after="60" w:before="0"/>
        <w:ind w:firstLine="397"/>
        <w:jc w:val="both"/>
      </w:pPr>
      <w:r>
        <w:rPr>
          <w:rFonts w:ascii="Times New Roman" w:hAnsi="Times New Roman" w:eastAsia="Times New Roman"/>
          <w:b w:val="0"/>
          <w:sz w:val="20"/>
        </w:rPr>
        <w:t>Масса поддержки должна быть неотрицательной, поэтому она определяется как суммарная величина потери маржи при нейтрализации поддерживающих компонентов:</w:t>
      </w:r>
    </w:p>
    <w:p>
      <w:pPr>
        <w:jc w:val="center"/>
      </w:pPr>
      <w:r>
        <w:rPr>
          <w:i/>
        </w:rPr>
        <w:t>M_B^+ = ∑_{g∈B_Q^+}(−Δ_g) = ∑_{g∈B_Q^+}|Δ_g|</w:t>
      </w:r>
    </w:p>
    <w:p>
      <w:pPr>
        <w:spacing w:line="240" w:lineRule="auto" w:after="60" w:before="0"/>
        <w:ind w:firstLine="397"/>
        <w:jc w:val="both"/>
      </w:pPr>
      <w:r>
        <w:rPr>
          <w:rFonts w:ascii="Times New Roman" w:hAnsi="Times New Roman" w:eastAsia="Times New Roman"/>
          <w:b w:val="0"/>
          <w:sz w:val="20"/>
        </w:rPr>
        <w:t>После этого отношение конфликта к поддержке записывается как:</w:t>
      </w:r>
    </w:p>
    <w:p>
      <w:pPr>
        <w:jc w:val="center"/>
      </w:pPr>
      <w:r>
        <w:rPr>
          <w:i/>
        </w:rPr>
        <w:t>r_B^- = M_B^- / (M_B^+ + ε)</w:t>
      </w:r>
    </w:p>
    <w:p>
      <w:pPr>
        <w:spacing w:line="240" w:lineRule="auto" w:after="60" w:before="0"/>
        <w:ind w:firstLine="397"/>
        <w:jc w:val="both"/>
      </w:pPr>
      <w:r>
        <w:t>Здесь ε &gt; 0 предотвращает деление на ноль. Если M_B^+=0, большое значение r_B^- означает, что в проверенной части входа обнаружена конфликтная масса, но нет сопоставимой поддерживающей массы. Кумулятивный конфликтный эффект CE_B измеряет изменение маржи при совместной нейтрализации найденных противоречащих компонентов:</w:t>
      </w:r>
    </w:p>
    <w:p>
      <w:pPr>
        <w:jc w:val="center"/>
      </w:pPr>
      <w:r>
        <w:rPr>
          <w:i/>
        </w:rPr>
        <w:t>CE_B = m_ŷ(N(x,B_Q^-)) − m_ŷ(x)</w:t>
      </w:r>
    </w:p>
    <w:p>
      <w:pPr>
        <w:spacing w:line="240" w:lineRule="auto" w:after="60" w:before="0"/>
        <w:ind w:firstLine="397"/>
        <w:jc w:val="both"/>
      </w:pPr>
      <w:r>
        <w:t>Ось хрупкости строится иначе. Нормированная стоимость разрушения поддержки ρ_B^cost определяется как минимальная стоимость множества поддерживающих компонентов S⊆B_Q^+, последовательная нейтрализация которых снижает маржу до неположительного значения, то есть m_ŷ(N(x,S)) ≤ 0:</w:t>
      </w:r>
    </w:p>
    <w:p>
      <w:pPr>
        <w:jc w:val="center"/>
      </w:pPr>
      <w:r>
        <w:rPr>
          <w:i/>
        </w:rPr>
        <w:t>ρ_B^cost = min{cost(S)/cost(B_Q^+) : S⊆B_Q^+, m_ŷ(N(x,S))≤0}</w:t>
      </w:r>
    </w:p>
    <w:p>
      <w:pPr>
        <w:spacing w:line="240" w:lineRule="auto" w:after="60" w:before="0"/>
        <w:ind w:firstLine="397"/>
        <w:jc w:val="both"/>
      </w:pPr>
      <w:r>
        <w:t>В практической реализации используется жадная аппроксимация. Поддерживающие компоненты сортируются по убыванию |Δ_g|, после чего последовательно нейтрализуются до пересечения нуля. Если cost(g)=1 для всех компонентов, то ρ_B^cost сводится к доле проверенной поддержки, необходимой для достижения m_ŷ(N(x,S)) ≤ 0. Если бюджет исчерпан и полная потеря маржи не достигнута, объект считается цензурированным по хрупкости. Для такого случая вычисляется мягкий показатель frag_drop:</w:t>
      </w:r>
    </w:p>
    <w:p>
      <w:pPr>
        <w:jc w:val="center"/>
      </w:pPr>
      <w:r>
        <w:rPr>
          <w:i/>
        </w:rPr>
        <w:t>frag_drop = max(0, (m_ŷ(x) − m_ŷ(N(x,S_K))) / (|m_ŷ(x)| + ε))</w:t>
      </w:r>
    </w:p>
    <w:p>
      <w:pPr>
        <w:spacing w:line="240" w:lineRule="auto" w:after="60" w:before="0"/>
        <w:ind w:firstLine="397"/>
        <w:jc w:val="both"/>
      </w:pPr>
      <w:r>
        <w:t>Здесь S_K — множество top-K поддерживающих компонентов, проверенных в рамках бюджета. Поэтому панель имеет две оси: ось конфликта, представленную M_B^-, r_B^- и CE_B, и ось хрупкости, представленную ρ_B^cost и frag_drop. Эти величины не сводятся к единой оценке риска. Решение может содержать выраженный конфликт при прочной поддержке, а может быть хрупким без явного локального противоречия. По этой причине BEACON возвращает вектор интерпретируемых индикаторов, а дальнейшее действие задается внешней политикой или оператором. Эта логика включена в концептуальную схему на рисунке 1.</w:t>
      </w:r>
    </w:p>
    <w:p>
      <w:pPr>
        <w:spacing w:line="240" w:lineRule="auto" w:after="60" w:before="0"/>
        <w:ind w:firstLine="397"/>
        <w:jc w:val="both"/>
      </w:pPr>
      <w:r>
        <w:t>Жадный порядок имеет точный смысл в частном случае аддитивной маржи и единичной стоимости компонентов: тогда минимальный набор поддержки, разрушающий положительную маржу, получается последовательным удалением компонентов с наибольшими |Δ_g|. В общем нелинейном случае эта процедура используется как бюджетная эвристическая аппроксимация, что согласуется с задачей локального аудита при ограниченном числе запросов.</w:t>
      </w:r>
    </w:p>
    <w:p>
      <w:pPr>
        <w:spacing w:line="240" w:lineRule="auto" w:after="60" w:before="0"/>
        <w:ind w:firstLine="397"/>
        <w:jc w:val="both"/>
      </w:pPr>
      <w:r>
        <w:t>Эти определения задают не физическую диагностику датчика, а модельно-локальную процедуру. Если компонент получает положительный эффект Δ_g(x), это означает только то, что в данной окрестности входа его присутствие уменьшает маржу выбранного класса. Поэтому дальнейшая инженерная интерпретация должна учитывать предметную область, тип сенсора и выбранный нейтрализатор.</w:t>
      </w:r>
    </w:p>
    <w:p>
      <w:pPr>
        <w:pStyle w:val="Heading1"/>
        <w:spacing w:line="240" w:lineRule="auto" w:after="60" w:before="0"/>
        <w:ind w:firstLine="0"/>
        <w:jc w:val="left"/>
      </w:pPr>
      <w:r>
        <w:rPr>
          <w:rFonts w:ascii="Times New Roman" w:hAnsi="Times New Roman" w:eastAsia="Times New Roman"/>
          <w:b/>
          <w:sz w:val="20"/>
        </w:rPr>
        <w:t>4. Алгоритмы BEACON-XAI</w:t>
      </w:r>
    </w:p>
    <w:p>
      <w:pPr>
        <w:spacing w:line="240" w:lineRule="auto" w:after="60" w:before="0"/>
        <w:ind w:firstLine="397"/>
        <w:jc w:val="both"/>
      </w:pPr>
      <w:r>
        <w:rPr>
          <w:rFonts w:ascii="Times New Roman" w:hAnsi="Times New Roman" w:eastAsia="Times New Roman"/>
          <w:b w:val="0"/>
          <w:sz w:val="20"/>
        </w:rPr>
        <w:t>Общая архитектура метода показана на рисунке 1. BEACON-XAI реализован как семейство из двух заранее заданных режимов. BEACON-core предназначен для устойчивого построения ранга компонентов, когда важен полный порядок проверки гипотез. BEACON-adaptive ориентирован на раннее, по числу модельных запросов, выделение наиболее подозрительных фрагментов. Автоматическое переключение между режимами не используется намеренно: политика, выбираемая отдельно для каждого объекта, повышает риск подгонки под конкретный набор данных и усложняет метод без гарантии превосходства по всем метрикам.</w:t>
      </w:r>
    </w:p>
    <w:p>
      <w:pPr>
        <w:spacing w:line="240" w:lineRule="auto" w:after="60" w:before="0"/>
        <w:ind w:firstLine="397"/>
        <w:jc w:val="both"/>
      </w:pPr>
      <w:r>
        <w:t>BEACON-core начинает работу с фиксированного разбиения входа на компоненты и расходует бюджет на их последовательную нейтрализацию. Для каждого проверенного компонента вычисляется Δ_g(x), после чего компоненты сортируются по убыванию положительного эффекта. Если компонент достаточно крупный и оставшегося бюджета хватает для уточнения, он может быть разбит на дочерние окна. Такое уточнение используется только тогда, когда эффект компонента превышает заданный порог локального интереса. В результате core-режим формирует более полный ранжированный список и лучше подходит для последующего анализа оператором.</w:t>
      </w:r>
    </w:p>
    <w:p>
      <w:pPr>
        <w:spacing w:line="240" w:lineRule="auto" w:after="60" w:before="0"/>
        <w:ind w:firstLine="397"/>
        <w:jc w:val="both"/>
      </w:pPr>
      <w:r>
        <w:rPr>
          <w:rFonts w:ascii="Times New Roman" w:hAnsi="Times New Roman" w:eastAsia="Times New Roman"/>
          <w:b w:val="0"/>
          <w:sz w:val="20"/>
        </w:rPr>
        <w:t>Алгоритм 1. BEACON-core.</w:t>
      </w:r>
    </w:p>
    <w:p>
      <w:pPr>
        <w:spacing w:line="240" w:lineRule="auto" w:after="60" w:before="0"/>
        <w:ind w:firstLine="397"/>
        <w:jc w:val="both"/>
      </w:pPr>
      <w:r>
        <w:t>Входом BEACON-core являются x, f, G, N и Q. Сначала вычисляются ŷ и m_ŷ(x), затем инициализируется очередь компонентов F=G. Пока бюджет не исчерпан, из очереди выбирается очередной компонент g, после чего рассчитываются N(x,g) и Δ_g(x). Проверенный компонент добавляется в список, диагностические индикаторы обновляются, а крупный компонент с выраженным эффектом при наличии бюджета заменяется дочерними окнами. На выходе метод возвращает ранжированный список компонентов L_Q(x) и панель Π_Q(x).</w:t>
      </w:r>
    </w:p>
    <w:p>
      <w:pPr>
        <w:spacing w:line="240" w:lineRule="auto" w:after="60" w:before="0"/>
        <w:ind w:firstLine="397"/>
        <w:jc w:val="both"/>
      </w:pPr>
      <w:r>
        <w:t>BEACON-adaptive добавляет перед обращениями к модели предфильтр, который задает начальный маршрут проверки компонентов. Сам предфильтр не является объяснением и не подменяет проверку через Δ_g(x). Он лишь определяет, какие компоненты будут проверены первыми при ограниченном бюджете.</w:t>
      </w:r>
    </w:p>
    <w:p>
      <w:pPr>
        <w:spacing w:line="240" w:lineRule="auto" w:after="60" w:before="0"/>
        <w:ind w:firstLine="397"/>
        <w:jc w:val="both"/>
      </w:pPr>
      <w:r>
        <w:t>Для воспроизводимости фиксируется конкретная реализация предфильтра, не зависящая от тестовых меток. Для компонента g сравнивается фрагмент входа x_g с типичным профилем соответствующего канала для предсказанного класса. Предварительный балл задается как s_pref(g)=1-|corr(x_g, μ_{ŷ,g})|, где μ_{ŷ,g} обозначает усредненный профиль компонента g для класса ŷ, рассчитанный по обучающей части данных. Для многоканальной группы этот балл усредняется по каналам. Предфильтр задает только порядок проверки и не используется как самостоятельное объяснение.</w:t>
      </w:r>
    </w:p>
    <w:p>
      <w:pPr>
        <w:spacing w:line="240" w:lineRule="auto" w:after="60" w:before="0"/>
        <w:ind w:firstLine="397"/>
        <w:jc w:val="both"/>
      </w:pPr>
      <w:r>
        <w:rPr>
          <w:rFonts w:ascii="Times New Roman" w:hAnsi="Times New Roman" w:eastAsia="Times New Roman"/>
          <w:b w:val="0"/>
          <w:sz w:val="20"/>
        </w:rPr>
        <w:t>Алгоритм 2. BEACON-adaptive.</w:t>
      </w:r>
    </w:p>
    <w:p>
      <w:pPr>
        <w:spacing w:line="240" w:lineRule="auto" w:after="60" w:before="0"/>
        <w:ind w:firstLine="397"/>
        <w:jc w:val="both"/>
      </w:pPr>
      <w:r>
        <w:t>Входом BEACON-adaptive являются x, f, G, N, K_0 и Q. Сначала вычисляются ŷ и базовая маржа m_ŷ(x). Затем для каждого компонента g∈G рассчитывается s_pref(g), после чего из K_0 компонентов с наибольшим предварительным баллом формируется приоритетная очередь F, а остальные компоненты помещаются в резерв. Пока число запросов меньше Q и очередь не пуста, выбирается компонент с максимальным приоритетом, вычисляются N(x,g) и Δ_g(x), затем обновляются ранжированный список, множества B_Q^- и B_Q^+ и диагностическая панель Π_Q(x). После модельной проверки приоритет компонента определяется уже знаком и величиной Δ_g(x): положительные эффекты поднимают компонент в конфликтный список, отрицательные эффекты переводят его в поддержку. Если проверенный компонент оказывается достаточно крупным и конфликтным, он может быть уточнен дочерними окнами.</w:t>
      </w:r>
    </w:p>
    <w:p>
      <w:pPr>
        <w:spacing w:line="240" w:lineRule="auto" w:after="60" w:before="0"/>
        <w:ind w:firstLine="397"/>
        <w:jc w:val="both"/>
      </w:pPr>
      <w:r>
        <w:rPr>
          <w:rFonts w:ascii="Times New Roman" w:hAnsi="Times New Roman" w:eastAsia="Times New Roman"/>
          <w:b w:val="0"/>
          <w:sz w:val="20"/>
        </w:rPr>
        <w:t>Практический смысл двух режимов различается. Adaptive-режим удобен для первичного отбора, когда важно раньше по бюджету обращений подсветить один или несколько подозрительных датчиков. Это не означает минимальную абсолютную задержку выполнения, поскольку статистический предфильтр тоже требует вычислений. Core-режим полезен тогда, когда нужен более полный порядок проверки гипотез при простой и предсказуемой стоимости. В статье оба режима рассматриваются как допустимые конфигурации одного метода, а не как конкурирующие версии.</w:t>
      </w:r>
    </w:p>
    <w:p>
      <w:pPr>
        <w:spacing w:line="240" w:lineRule="auto" w:after="60" w:before="0"/>
        <w:ind w:firstLine="397"/>
        <w:jc w:val="both"/>
      </w:pPr>
      <w:r>
        <w:t>Основная стоимость BEACON определяется числом обращений к модели. При бюджете Q метод выполняет не более Q+1 прямых проходов модели с учетом исходного предсказания и в худшем случае O(Q log Q) операций сортировки. Корреляционный предфильтр в adaptive-режиме вычисляется за O(MTD), где M — число компонентов, T — длина окна, а D — число каналов. Поэтому adaptive может быть выгоден по порядку первых модельных запросов, но не обязан быть быстрее по фактическому времени выполнения. В отличие от KernelSHAP и RISE-style masking, где число обращений часто достигает сотен, BEACON изначально рассчитан на малые бюджеты Q=8–16.</w:t>
      </w:r>
    </w:p>
    <w:p>
      <w:pPr>
        <w:spacing w:line="240" w:lineRule="auto" w:after="60" w:before="0"/>
        <w:ind w:firstLine="397"/>
        <w:jc w:val="both"/>
      </w:pPr>
      <w:r>
        <w:t>В обоих режимах нейтрализатор фиксируется до эксперимента. Временной интерполяционный вариант выполняет поканальную линейную интерполяцию между двумя ближайшими сохраненными отсчетами вне нейтрализуемого окна; если окно совпадает с границей временного ряда, используется ближайший доступный отсчет. Такая деталь важна, поскольку именно оператор N(x,g) определяет смысл удаления компонента.</w:t>
      </w:r>
    </w:p>
    <w:p>
      <w:r>
        <w:drawing>
          <wp:inline xmlns:a="http://schemas.openxmlformats.org/drawingml/2006/main" xmlns:pic="http://schemas.openxmlformats.org/drawingml/2006/picture">
            <wp:extent cx="5760720" cy="3423062"/>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760720" cy="3423062"/>
                    </a:xfrm>
                    <a:prstGeom prst="rect"/>
                  </pic:spPr>
                </pic:pic>
              </a:graphicData>
            </a:graphic>
          </wp:inline>
        </w:drawing>
      </w:r>
    </w:p>
    <w:p>
      <w:pPr>
        <w:spacing w:line="240" w:lineRule="auto" w:after="60" w:before="0"/>
        <w:ind w:firstLine="397"/>
        <w:jc w:val="both"/>
      </w:pPr>
      <w:r>
        <w:rPr>
          <w:rFonts w:ascii="Times New Roman" w:hAnsi="Times New Roman" w:eastAsia="Times New Roman"/>
          <w:b w:val="0"/>
          <w:sz w:val="20"/>
        </w:rPr>
        <w:t>Рисунок 1 - Концептуальная схема BEACON-XAI: архитектура бюджетированного аудита и панель «конфликт-хрупкость».</w:t>
      </w:r>
    </w:p>
    <w:p>
      <w:pPr>
        <w:pStyle w:val="Heading1"/>
        <w:spacing w:line="240" w:lineRule="auto" w:after="60" w:before="0"/>
        <w:ind w:firstLine="0"/>
        <w:jc w:val="left"/>
      </w:pPr>
      <w:r>
        <w:rPr>
          <w:rFonts w:ascii="Times New Roman" w:hAnsi="Times New Roman" w:eastAsia="Times New Roman"/>
          <w:b/>
          <w:sz w:val="20"/>
        </w:rPr>
        <w:t>5. Результаты базовой проверки</w:t>
      </w:r>
    </w:p>
    <w:p>
      <w:pPr>
        <w:spacing w:line="240" w:lineRule="auto" w:after="60" w:before="0"/>
        <w:ind w:firstLine="397"/>
        <w:jc w:val="both"/>
      </w:pPr>
      <w:r>
        <w:rPr>
          <w:rFonts w:ascii="Times New Roman" w:hAnsi="Times New Roman" w:eastAsia="Times New Roman"/>
          <w:b w:val="0"/>
          <w:sz w:val="20"/>
        </w:rPr>
        <w:t>Базовая проверка метода сосредоточена на компонентной локализации конфликтного фрагмента на PAMAP2 и WISDM. Дополнительно BEACON сопоставляется с адаптированными методами атрибуции временных рядов на PAMAP2, что позволяет оценить компромисс между качеством краткого списка и числом обращений к модели.</w:t>
      </w:r>
    </w:p>
    <w:p>
      <w:pPr>
        <w:spacing w:line="240" w:lineRule="auto" w:after="60" w:before="0"/>
        <w:ind w:firstLine="397"/>
        <w:jc w:val="both"/>
      </w:pPr>
      <w:r>
        <w:rPr>
          <w:rFonts w:ascii="Times New Roman" w:hAnsi="Times New Roman" w:eastAsia="Times New Roman"/>
          <w:b w:val="0"/>
          <w:sz w:val="20"/>
        </w:rPr>
        <w:t>Сравнение с RISE-style masking и KernelSHAP-components выполнялось на той же компонентной сетке, что и BEACON. Для каждого компонента использовался тот же оператор нейтрализации, поэтому различия между методами не сводились к разной процедуре маскирования входа. В RISE-style masking генерировались бинарные маски на уровне компонентов; нейтрализованные компоненты выключались согласно маске, после чего для каждого компонента оценивалась разность средней маржи между случаями его выключения и сохранения. В KernelSHAP-components бинарная маска также задавалась на уровне компонентов, а вклады оценивались взвешенной линейной аппроксимацией маржи текущего класса с ядром SHAP. Поскольку BEACON ранжирует именно противоречащие компоненты, итоговый ранг KernelSHAP строился по отрицательному вкладу компонента в маржу, то есть по величине эффекта, ожидаемого при его нейтрализации. Такой протокол делает сравнение компонентным и бюджетно сопоставимым.</w:t>
      </w:r>
    </w:p>
    <w:p>
      <w:pPr>
        <w:spacing w:line="240" w:lineRule="auto" w:after="60" w:before="0"/>
        <w:ind w:firstLine="397"/>
        <w:jc w:val="both"/>
      </w:pPr>
      <w:r>
        <w:t>PAMAP2 используется как многоканальный набор сенсорных временных рядов с несколькими группами датчиков [19]. Для него обучался классификатор ExtraTrees, что позволяет проверить полностью черноящичный режим. WISDM выступает дополнительным набором мобильных акселерометрических данных [20]. Табличный пилот Adult используется только как дополнительная проверка переносимости процедуры на структурированные данные и не является главным аргументом статьи.</w:t>
      </w:r>
    </w:p>
    <w:p>
      <w:pPr>
        <w:spacing w:line="240" w:lineRule="auto" w:after="60" w:before="0"/>
        <w:ind w:firstLine="397"/>
        <w:jc w:val="both"/>
      </w:pPr>
      <w:r>
        <w:t>Для задачи компонентной локализации конфликт создается контролируемой заменой одного компонента входа фрагментом из объекта другого класса. Компонент для замены выбирается равномерно по компонентной сетке, а донорский фрагмент берется из объекта с иной меткой класса при фиксированном генераторе случайных чисел. Такая процедура исключает привязку конфликта к последнему окну или к заранее известной позиции во времени, поэтому наивная стратегия проверки только недавнего фрагмента не получает искусственного преимущества. Истинный конфликтный компонент известен заранее, что позволяет напрямую оценивать loc@1, hit@3, hit@5, MRR и средний ранг. Этот сценарий является базовой проверкой ранжирования: он не моделирует полный эксплуатационный случай сенсорной неисправности, а изолирует вопрос о том, способен ли метод при малом бюджете поднять известный конфликтный компонент в начало списка.</w:t>
      </w:r>
    </w:p>
    <w:p>
      <w:pPr>
        <w:spacing w:line="240" w:lineRule="auto" w:after="60" w:before="0"/>
        <w:ind w:firstLine="397"/>
        <w:jc w:val="both"/>
      </w:pPr>
      <w:r>
        <w:t>Эта постановка соответствует назначению BEACON. Метод не должен заменять универсальные детекторы сенсорных отказов. Если сбой не влияет на маржу модели, нейтрализация соответствующего компонента не создаст значимого Δ_g(x), и BEACON не обязан его находить. Напротив, метод предназначен для локализации тех конфликтов, которые действительно меняют решение модели или запас его устойчивости.</w:t>
      </w:r>
    </w:p>
    <w:p>
      <w:pPr>
        <w:spacing w:line="240" w:lineRule="auto" w:after="60" w:before="0"/>
        <w:ind w:firstLine="397"/>
        <w:jc w:val="both"/>
      </w:pPr>
      <w:r>
        <w:t>Основная проверка компонентной локализации приведена в таблице 1. Наиболее сильная конфигурация PAMAP2 использует 12 временных окон, 36 компонентов и интерполяционный нейтрализатор. При одинаковом бюджете Q=16 BEACON заметно превосходит uniform occlusion по loc@1, hit@3, hit@5 и MRR. Эта же таблица показывает чувствительность к разбиению: переход от 8 к 12 временным окнам улучшает качество, тогда как дальнейшее дробление до 16 окон распыляет бюджет и снижает метрики. На WISDM абсолютные значения ниже, однако преимущество BEACON над uniform occlusion по метрикам краткого списка сохраняется.</w:t>
      </w:r>
    </w:p>
    <w:p>
      <w:pPr>
        <w:spacing w:line="240" w:lineRule="auto" w:after="60" w:before="0"/>
        <w:ind w:firstLine="397"/>
        <w:jc w:val="both"/>
      </w:pPr>
      <w:r>
        <w:rPr>
          <w:rFonts w:ascii="Times New Roman" w:hAnsi="Times New Roman" w:eastAsia="Times New Roman"/>
          <w:b w:val="0"/>
          <w:sz w:val="20"/>
        </w:rPr>
        <w:t>Таблица 1 - Компонентная локализация конфликтного фрагмента на PAMAP2 и WISDM.</w:t>
      </w:r>
    </w:p>
    <w:tbl>
      <w:tblPr>
        <w:tblStyle w:val="TableGrid"/>
        <w:tblW w:type="auto" w:w="0"/>
        <w:jc w:val="center"/>
        <w:tblLayout w:type="autofit"/>
        <w:tblLook w:firstColumn="1" w:firstRow="1" w:lastColumn="0" w:lastRow="0" w:noHBand="0" w:noVBand="1" w:val="04A0"/>
      </w:tblPr>
      <w:tblGrid>
        <w:gridCol w:w="646"/>
        <w:gridCol w:w="646"/>
        <w:gridCol w:w="646"/>
        <w:gridCol w:w="646"/>
        <w:gridCol w:w="646"/>
        <w:gridCol w:w="646"/>
        <w:gridCol w:w="646"/>
        <w:gridCol w:w="646"/>
        <w:gridCol w:w="646"/>
        <w:gridCol w:w="646"/>
        <w:gridCol w:w="646"/>
        <w:gridCol w:w="646"/>
        <w:gridCol w:w="646"/>
        <w:gridCol w:w="646"/>
        <w:gridCol w:w="646"/>
      </w:tblGrid>
      <w:tr>
        <w:trPr>
          <w:tblHeader w:val="true"/>
          <w:cantSplit/>
          <w:tblHeader w:val="true"/>
          <w:cantSplit/>
        </w:trPr>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Данные</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Модель</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Q</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Окна</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Компон.</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Нейтр.</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B loc@1</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B hit@3</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B hit@5</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B MRR</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U loc@1</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U hit@3</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U hit@5</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U MRR</w:t>
            </w:r>
          </w:p>
        </w:tc>
        <w:tc>
          <w:tcPr>
            <w:tcW w:type="dxa" w:w="646"/>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Rand</w:t>
            </w:r>
          </w:p>
        </w:tc>
      </w:tr>
      <w:tr>
        <w:trPr>
          <w:cantSplit/>
          <w:cantSplit/>
        </w:trPr>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PAMAP2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ExtraTrees</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24</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zero</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0,0547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0,1602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0,1953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0,1757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0,0977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0,1641</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0,2305</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0,2046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0,0417</w:t>
            </w:r>
          </w:p>
        </w:tc>
      </w:tr>
      <w:tr>
        <w:trPr>
          <w:cantSplit/>
          <w:cantSplit/>
        </w:trPr>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PAMAP2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ExtraTrees</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24</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zero</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0,1094</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0,1797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0,2500</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0,2173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0,1523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0,2422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0,2969</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0,2595</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0,0417</w:t>
            </w:r>
          </w:p>
        </w:tc>
      </w:tr>
      <w:tr>
        <w:trPr>
          <w:cantSplit/>
          <w:cantSplit/>
        </w:trPr>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PAMAP2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ExtraTrees</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36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interp</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0,2070</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0,3711</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0,4062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0,3225</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0,1211</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0,2109</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0,2383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0,2047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0,0278</w:t>
            </w:r>
          </w:p>
        </w:tc>
      </w:tr>
      <w:tr>
        <w:trPr>
          <w:cantSplit/>
          <w:cantSplit/>
        </w:trPr>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PAMAP2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ExtraTrees</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48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zero</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0,1055</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0,1562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0,1836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0,1706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0,0977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0,1172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0,1328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0,1522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0,0208</w:t>
            </w:r>
          </w:p>
        </w:tc>
      </w:tr>
      <w:tr>
        <w:trPr>
          <w:cantSplit/>
          <w:cantSplit/>
        </w:trPr>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WISDM</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ExtraTrees</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48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zero</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0,0352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0,1133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0,1445</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0,1172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0,0117</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0,0312</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0,0664</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0,0755</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0,0208</w:t>
            </w:r>
          </w:p>
        </w:tc>
      </w:tr>
      <w:tr>
        <w:trPr>
          <w:cantSplit/>
          <w:cantSplit/>
        </w:trPr>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WISDM</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ExtraTrees</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48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zero</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0,0430</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0,1133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0,1641</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0,1273</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0,0391</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0,0898</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0,1250</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0,1119</w:t>
            </w:r>
          </w:p>
        </w:tc>
        <w:tc>
          <w:tcPr>
            <w:tcW w:type="dxa" w:w="646"/>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0,0208</w:t>
            </w:r>
          </w:p>
        </w:tc>
      </w:tr>
    </w:tbl>
    <w:p>
      <w:pPr>
        <w:spacing w:line="240" w:lineRule="auto" w:after="60" w:before="0"/>
        <w:ind w:firstLine="397"/>
        <w:jc w:val="both"/>
      </w:pPr>
      <w:r>
        <w:t>Сравнение с адаптированными методами атрибуции временных рядов приведено в таблице 2. Оно используется не как утверждение о равной практической стоимости методов, а как ориентир качества при разных бюджетах обращений к модели. При Q=16 BEACON существенно превосходит равнозатратную uniform occlusion. Для ключевой конфигурации PAMAP2 при 36 компонентах 95% доверительные интервалы Уилсона подтверждают направление эффекта по бинарным метрикам: для loc@1 BEACON имеет интервал [0,162; 0,261] против [0,087; 0,167] у uniform occlusion, а для hit@3 - [0,314; 0,432] против [0,165; 0,265]. RISE-style masking при 64 вызовах требует в 4 раза больше обращений к модели, чем BEACON при , и поэтому рассматривается как более дорогой ориентир качества.</w:t>
      </w:r>
    </w:p>
    <w:p>
      <w:pPr>
        <w:spacing w:line="240" w:lineRule="auto" w:after="60" w:before="0"/>
        <w:ind w:firstLine="397"/>
        <w:jc w:val="both"/>
      </w:pPr>
      <w:r>
        <w:rPr>
          <w:rFonts w:ascii="Times New Roman" w:hAnsi="Times New Roman" w:eastAsia="Times New Roman"/>
          <w:b w:val="0"/>
          <w:sz w:val="20"/>
        </w:rPr>
        <w:t>Метрика NRG в последнем столбце означает normalized rank gain и вычисляется как (mean rank_random - mean rank_method)/(mean rank_random - 1). Поэтому NRG=0 соответствует случайному рангу, а NRG=1 - идеальному размещению истинного компонента на первой позиции.</w:t>
      </w:r>
    </w:p>
    <w:p>
      <w:pPr>
        <w:spacing w:line="240" w:lineRule="auto" w:after="60" w:before="0"/>
        <w:ind w:firstLine="397"/>
        <w:jc w:val="both"/>
      </w:pPr>
      <w:r>
        <w:rPr>
          <w:rFonts w:ascii="Times New Roman" w:hAnsi="Times New Roman" w:eastAsia="Times New Roman"/>
          <w:b w:val="0"/>
          <w:sz w:val="20"/>
        </w:rPr>
        <w:t>Таблица 2 - Сравнение BEACON с адаптированными методами атрибуции временных рядов на PAMAP2.</w:t>
      </w:r>
    </w:p>
    <w:tbl>
      <w:tblPr>
        <w:tblStyle w:val="TableGrid"/>
        <w:tblW w:type="auto" w:w="0"/>
        <w:jc w:val="center"/>
        <w:tblLayout w:type="autofit"/>
        <w:tblLook w:firstColumn="1" w:firstRow="1" w:lastColumn="0" w:lastRow="0" w:noHBand="0" w:noVBand="1" w:val="04A0"/>
      </w:tblPr>
      <w:tblGrid>
        <w:gridCol w:w="1077"/>
        <w:gridCol w:w="1077"/>
        <w:gridCol w:w="1077"/>
        <w:gridCol w:w="1077"/>
        <w:gridCol w:w="1077"/>
        <w:gridCol w:w="1077"/>
        <w:gridCol w:w="1077"/>
        <w:gridCol w:w="1077"/>
        <w:gridCol w:w="1077"/>
      </w:tblGrid>
      <w:tr>
        <w:trPr>
          <w:tblHeader w:val="true"/>
          <w:cantSplit/>
          <w:tblHeader w:val="true"/>
          <w:cantSplit/>
        </w:trPr>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Метод</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Бюджет</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Вызовы</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loc@1</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hit@3</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hit@5</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MRR</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Средний ранг</w:t>
            </w:r>
          </w:p>
        </w:tc>
        <w:tc>
          <w:tcPr>
            <w:tcW w:type="dxa" w:w="1077"/>
            <w:vAlign w:val="center"/>
            <w:shd w:fill="D9EAF7"/>
          </w:tcPr>
          <w:p>
            <w:pPr>
              <w:spacing w:before="0" w:after="0" w:line="240" w:lineRule="auto"/>
              <w:ind w:firstLine="0"/>
              <w:jc w:val="center"/>
            </w:pPr>
            <w:r>
              <w:rPr>
                <w:rFonts w:ascii="Times New Roman" w:hAnsi="Times New Roman"/>
                <w:b/>
                <w:sz w:val="16"/>
              </w:rPr>
            </w:r>
            <w:r>
              <w:rPr>
                <w:rFonts w:ascii="Times New Roman" w:hAnsi="Times New Roman" w:eastAsia="Times New Roman"/>
                <w:b/>
                <w:sz w:val="16"/>
              </w:rPr>
              <w:t>NRG</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random</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0,0278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0,0833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0,1389</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0,1160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18,50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0,0000</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uniform occlusion</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0,1211</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0,2109</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0,2383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0,2047</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17,48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0,0580</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BEACON</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0,2070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0,3711</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0,4062</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0,3225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13,07</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0,3105</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RISE masking</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64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64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0,2500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0,3594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0,4023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0,3464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13,35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0,2942</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RISE masking</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0,2461</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0,3867</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0,4258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0,3503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13,43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0,2897</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RISE masking</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256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256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0,2852</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0,4258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0,4805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0,3944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12,19</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0,3607</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RISE masking</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512</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512</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0,2930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0,4375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0,4727</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0,3955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12,75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0,3286</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KernelSHAP comp.</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128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0,1094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0,2031</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0,2773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0,2134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15,29</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0,1833</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KernelSHAP comp.</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256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256</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0,1445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0,2734</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0,3438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0,2563</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15,57</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0,1674</w:t>
            </w:r>
          </w:p>
        </w:tc>
      </w:tr>
      <w:tr>
        <w:trPr>
          <w:cantSplit/>
          <w:cantSplit/>
        </w:trPr>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KernelSHAP comp.</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512</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512</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0,2070</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0,3555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0,3828</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0,3117</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14,25</w:t>
            </w:r>
          </w:p>
        </w:tc>
        <w:tc>
          <w:tcPr>
            <w:tcW w:type="dxa" w:w="1077"/>
            <w:vAlign w:val="center"/>
          </w:tcPr>
          <w:p>
            <w:pPr>
              <w:spacing w:before="0" w:after="0" w:line="240" w:lineRule="auto"/>
              <w:ind w:firstLine="0"/>
              <w:jc w:val="center"/>
            </w:pPr>
            <w:r>
              <w:rPr>
                <w:rFonts w:ascii="Times New Roman" w:hAnsi="Times New Roman"/>
                <w:sz w:val="16"/>
              </w:rPr>
            </w:r>
            <w:r>
              <w:rPr>
                <w:rFonts w:ascii="Times New Roman" w:hAnsi="Times New Roman" w:eastAsia="Times New Roman"/>
                <w:b w:val="0"/>
                <w:sz w:val="16"/>
              </w:rPr>
              <w:t>0,2429</w:t>
            </w:r>
          </w:p>
        </w:tc>
      </w:tr>
    </w:tbl>
    <w:p>
      <w:r>
        <w:drawing>
          <wp:inline xmlns:a="http://schemas.openxmlformats.org/drawingml/2006/main" xmlns:pic="http://schemas.openxmlformats.org/drawingml/2006/picture">
            <wp:extent cx="5577840" cy="3391852"/>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577840" cy="3391852"/>
                    </a:xfrm>
                    <a:prstGeom prst="rect"/>
                  </pic:spPr>
                </pic:pic>
              </a:graphicData>
            </a:graphic>
          </wp:inline>
        </w:drawing>
      </w:r>
    </w:p>
    <w:p>
      <w:pPr>
        <w:spacing w:line="240" w:lineRule="auto" w:after="60" w:before="0"/>
        <w:ind w:firstLine="397"/>
        <w:jc w:val="both"/>
      </w:pPr>
      <w:r>
        <w:rPr>
          <w:rFonts w:ascii="Times New Roman" w:hAnsi="Times New Roman" w:eastAsia="Times New Roman"/>
          <w:b w:val="0"/>
          <w:sz w:val="20"/>
        </w:rPr>
        <w:t>Рисунок 2 - Компромисс между качеством краткого списка и числом обращений к модели на PAMAP2.</w:t>
      </w:r>
    </w:p>
    <w:p>
      <w:pPr>
        <w:spacing w:line="240" w:lineRule="auto" w:after="60" w:before="0"/>
        <w:ind w:firstLine="397"/>
        <w:jc w:val="both"/>
      </w:pPr>
      <w:r>
        <w:rPr>
          <w:rFonts w:ascii="Times New Roman" w:hAnsi="Times New Roman" w:eastAsia="Times New Roman"/>
          <w:b w:val="0"/>
          <w:sz w:val="20"/>
        </w:rPr>
        <w:t>Низкоразмерный табличный пилот был рассмотрен только как отрицательный контроль переносимости и не включается в основную экспериментальную линию первой части. Его смысл состоит в проверке границы применимости: если число компонентов мало и равнозатратная окклюзия почти исчерпывает всё пространство признаков, преимущество BEACON исчезает. Следовательно, основной областью применения являются временные ряды и другие структурированные входы, где число компонентов существенно превышает бюджет запросов.</w:t>
      </w:r>
    </w:p>
    <w:p>
      <w:pPr>
        <w:spacing w:line="240" w:lineRule="auto" w:after="60" w:before="0"/>
        <w:ind w:firstLine="397"/>
        <w:jc w:val="both"/>
      </w:pPr>
      <w:r>
        <w:t>Тем самым настоящая статья задает методологически завершенную постановку BEACON-XAI: от определения знакового эффекта и двухосевой панели до алгоритмов core/adaptive и базовой локализации конфликтных компонентов. Практическое использование компактного состояния аудита для политик риска, более сложных сценариев противоречия и ресурсного профилирования рассматривается как отдельное развитие метода.</w:t>
      </w:r>
    </w:p>
    <w:p>
      <w:pPr>
        <w:spacing w:line="240" w:lineRule="auto" w:after="60" w:before="0"/>
        <w:ind w:firstLine="397"/>
        <w:jc w:val="both"/>
      </w:pPr>
      <w:r>
        <w:rPr>
          <w:rFonts w:ascii="Times New Roman" w:hAnsi="Times New Roman" w:eastAsia="Times New Roman"/>
          <w:b w:val="0"/>
          <w:sz w:val="20"/>
        </w:rPr>
        <w:t>Чувствительность к числу окон и нейтрализатору не является дефектом метода, но требует фиксированного протокола. Более крупное окно может скрывать локальный конфликт внутри компонента, а чрезмерное дробление распыляет бюджет и ухудшает ранжирование. Интерполяционный нейтрализатор снижает выход за распределение временного ряда, однако его нельзя переносить на другие модальности без отдельного определения нейтрального состояния.</w:t>
      </w:r>
    </w:p>
    <w:p>
      <w:pPr>
        <w:spacing w:line="240" w:lineRule="auto" w:after="60" w:before="0"/>
        <w:ind w:firstLine="397"/>
        <w:jc w:val="both"/>
      </w:pPr>
      <w:r>
        <w:t>Наиболее важным является режим Q=16, поскольку он отражает практическую ситуацию, когда невозможно проверять сотни масок. В этом режиме BEACON не пытается восстановить всю карту важности, а фокусируется на ранних позициях ранга. Именно поэтому hit@3 и MRR являются более содержательными метриками для поставленной задачи, чем абсолютное восстановление полного порядка всех компонентов.</w:t>
      </w:r>
    </w:p>
    <w:p>
      <w:pPr>
        <w:spacing w:line="240" w:lineRule="auto" w:after="60" w:before="0"/>
        <w:ind w:firstLine="397"/>
        <w:jc w:val="both"/>
      </w:pPr>
      <w:r>
        <w:rPr>
          <w:rFonts w:ascii="Times New Roman" w:hAnsi="Times New Roman" w:eastAsia="Times New Roman"/>
          <w:b w:val="0"/>
          <w:sz w:val="20"/>
        </w:rPr>
        <w:t>Полученные результаты не следует трактовать как доказательство универсального превосходства BEACON-XAI над более дорогими методами атрибуции. Напротив, таблица 2 показывает ожидаемую картину: при большом числе обращений RISE-style masking может достичь более высокого качества по отдельным метрикам. Вклад BEACON состоит в том, что при малом бюджете он дает более полезный краткий список, чем равнозатратная равномерная или случайная проверка компонентов.</w:t>
      </w:r>
    </w:p>
    <w:p>
      <w:pPr>
        <w:pStyle w:val="Heading1"/>
        <w:spacing w:line="240" w:lineRule="auto" w:after="60" w:before="0"/>
        <w:ind w:firstLine="0"/>
        <w:jc w:val="left"/>
      </w:pPr>
      <w:r>
        <w:rPr>
          <w:rFonts w:ascii="Times New Roman" w:hAnsi="Times New Roman" w:eastAsia="Times New Roman"/>
          <w:b/>
          <w:sz w:val="20"/>
        </w:rPr>
        <w:t>6. Обсуждение, воспроизводимость и ограничения</w:t>
      </w:r>
    </w:p>
    <w:p>
      <w:pPr>
        <w:spacing w:line="240" w:lineRule="auto" w:after="60" w:before="0"/>
        <w:ind w:firstLine="397"/>
        <w:jc w:val="both"/>
      </w:pPr>
      <w:r>
        <w:rPr>
          <w:rFonts w:ascii="Times New Roman" w:hAnsi="Times New Roman" w:eastAsia="Times New Roman"/>
          <w:b w:val="0"/>
          <w:sz w:val="20"/>
        </w:rPr>
        <w:t>При этом метод не следует применять там, где бюджет почти равен числу признаков. В таких условиях равномерная окклюзия становится близкой к полному перебору, и специальный бюджетированный маршрут теряет преимущество. Это ограничение не противоречит постановке BEACON-XAI, поскольку метод разрабатывался для структурированных входов с большим числом потенциальных компонентов и малым допустимым числом запросов.</w:t>
      </w:r>
    </w:p>
    <w:p>
      <w:pPr>
        <w:spacing w:line="240" w:lineRule="auto" w:after="60" w:before="0"/>
        <w:ind w:firstLine="397"/>
        <w:jc w:val="both"/>
      </w:pPr>
      <w:r>
        <w:rPr>
          <w:rFonts w:ascii="Times New Roman" w:hAnsi="Times New Roman" w:eastAsia="Times New Roman"/>
          <w:b w:val="0"/>
          <w:sz w:val="20"/>
        </w:rPr>
        <w:t>Доверительные интервалы в базовой проверке используются не для доказательства абсолютного превосходства метода во всех режимах, а для контроля направления эффекта в ключевой равнозатратной конфигурации. В этой конфигурации BEACON-XAI имеет более высокие значения loc@1 и hit@3, а интервалы Уилсона для hit@3 не перекрывают соответствующий интервал uniform occlusion. Такой результат поддерживает основную гипотезу первой части: знаковый аудит при малом бюджете дает более информативный краткий список, чем равномерная проверка компонентов.</w:t>
      </w:r>
    </w:p>
    <w:p>
      <w:pPr>
        <w:spacing w:line="240" w:lineRule="auto" w:after="60" w:before="0"/>
        <w:ind w:firstLine="397"/>
        <w:jc w:val="both"/>
      </w:pPr>
      <w:r>
        <w:rPr>
          <w:rFonts w:ascii="Times New Roman" w:hAnsi="Times New Roman" w:eastAsia="Times New Roman"/>
          <w:b w:val="0"/>
          <w:sz w:val="20"/>
        </w:rPr>
        <w:t>Единая компонентная сетка особенно важна при сравнении с RISE-style masking и KernelSHAP-components. Если один метод получает более мелкие или более удобные компоненты, то различие метрик может быть связано не с процедурой объяснения, а с различной геометрией маскирования. В данной постановке все методы используют одни и те же компоненты и один и тот же оператор нейтрализации, что делает сравнение по числу обращений к модели содержательным.</w:t>
      </w:r>
    </w:p>
    <w:p>
      <w:pPr>
        <w:spacing w:line="240" w:lineRule="auto" w:after="60" w:before="0"/>
        <w:ind w:firstLine="397"/>
        <w:jc w:val="both"/>
      </w:pPr>
      <w:r>
        <w:rPr>
          <w:rFonts w:ascii="Times New Roman" w:hAnsi="Times New Roman" w:eastAsia="Times New Roman"/>
          <w:b w:val="0"/>
          <w:sz w:val="20"/>
        </w:rPr>
        <w:t>Для воспроизводимой оценки BEACON-XAI важны четыре фиксируемых элемента: компонентная сетка, нейтрализатор, порядок расходования бюджета и метрика ранжирования. Если хотя бы один из этих элементов меняется после просмотра тестовых результатов, сравнение с baseline-методами становится некорректным. Поэтому в экспериментальном протоколе все варианты разбиения и нейтрализаторы задаются заранее, а таблицы отражают заранее определенные конфигурации.</w:t>
      </w:r>
    </w:p>
    <w:p>
      <w:pPr>
        <w:spacing w:line="240" w:lineRule="auto" w:after="60" w:before="0"/>
        <w:ind w:firstLine="397"/>
        <w:jc w:val="both"/>
      </w:pPr>
      <w:r>
        <w:rPr>
          <w:rFonts w:ascii="Times New Roman" w:hAnsi="Times New Roman" w:eastAsia="Times New Roman"/>
          <w:b w:val="0"/>
          <w:sz w:val="20"/>
        </w:rPr>
        <w:t>Результатом BEACON-XAI является не только ранжированный список компонентов, но и компактное состояние аудита, включающее маржу, конфликтную массу, поддержку и показатели хрупкости. В настоящей статье это состояние используется для анализа локализации и границ метода. Построение диагностических политик поверх этого состояния относится к следующему этапу исследования и не подменяет базовую валидацию.</w:t>
      </w:r>
    </w:p>
    <w:p>
      <w:pPr>
        <w:spacing w:line="240" w:lineRule="auto" w:after="60" w:before="0"/>
        <w:ind w:firstLine="397"/>
        <w:jc w:val="both"/>
      </w:pPr>
      <w:r>
        <w:t>Еще одно ограничение первой части связано с искусственной процедурой генерации конфликтов. Контролируемая замена компонента фрагментом другого класса удобна тем, что истинная позиция конфликта известна заранее. Но такой сценарий проще, чем эксплуатационная ситуация, в которой статистика сигнала остается в нормальном диапазоне, а влияние проявляется только через маржу модели. Поэтому базовая локализация должна рассматриваться как необходимая, но не достаточная проверка.</w:t>
      </w:r>
    </w:p>
    <w:p>
      <w:pPr>
        <w:spacing w:line="240" w:lineRule="auto" w:after="60" w:before="0"/>
        <w:ind w:firstLine="397"/>
        <w:jc w:val="both"/>
      </w:pPr>
      <w:r>
        <w:rPr>
          <w:rFonts w:ascii="Times New Roman" w:hAnsi="Times New Roman" w:eastAsia="Times New Roman"/>
          <w:b w:val="0"/>
          <w:sz w:val="20"/>
        </w:rPr>
        <w:t>Двухосевая панель включена в формальный аппарат уже в данной статье, поскольку она задает интерпретацию результата аудита. Компонентная локализация проверяет качество ранга, а панельная интерпретация показывает, какие признаки результата могут быть использованы далее для оценки риска. Эти задачи связаны, но не совпадают: хороший ранг конфликтных компонентов не гарантирует, что выбранная политика оповещений будет лучше простого порога по марже.</w:t>
      </w:r>
    </w:p>
    <w:p>
      <w:pPr>
        <w:spacing w:line="240" w:lineRule="auto" w:after="60" w:before="0"/>
        <w:ind w:firstLine="397"/>
        <w:jc w:val="both"/>
      </w:pPr>
      <w:r>
        <w:rPr>
          <w:rFonts w:ascii="Times New Roman" w:hAnsi="Times New Roman" w:eastAsia="Times New Roman"/>
          <w:b w:val="0"/>
          <w:sz w:val="20"/>
        </w:rPr>
        <w:t>Настоящая статья намеренно ограничена задачей компонентной локализации. Это позволяет изолировать базовый вопрос: способен ли метод при малом бюджете запросов поднять истинный конфликтный компонент в начало ранга. Однако такая проверка не отвечает на весь набор практических вопросов, возникающих при эксплуатации модели. В реальном контуре важно не только найти компонент, но и решить, является ли окно рискованным, требуется ли повторная проверка и какой источник ненадежности доминирует.</w:t>
      </w:r>
    </w:p>
    <w:p>
      <w:pPr>
        <w:spacing w:line="240" w:lineRule="auto" w:after="60" w:before="0"/>
        <w:ind w:firstLine="397"/>
        <w:jc w:val="both"/>
      </w:pPr>
      <w:r>
        <w:rPr>
          <w:rFonts w:ascii="Times New Roman" w:hAnsi="Times New Roman" w:eastAsia="Times New Roman"/>
          <w:b w:val="0"/>
          <w:sz w:val="20"/>
        </w:rPr>
        <w:t>Это ограничение не ослабляет постановку, а фиксирует ее границы. Основной вывод состоит в том, что бюджетированный запросный аудит имеет самостоятельную ценность как промежуточный слой между простой статистической проверкой и полной атрибуцией входа. Следующий этап должен проверять не только ранг компонента, но и то, как компактные признаки панели используются для принятия решений о риске.</w:t>
      </w:r>
    </w:p>
    <w:p>
      <w:pPr>
        <w:spacing w:line="240" w:lineRule="auto" w:after="60" w:before="0"/>
        <w:ind w:firstLine="397"/>
        <w:jc w:val="both"/>
      </w:pPr>
      <w:r>
        <w:rPr>
          <w:rFonts w:ascii="Times New Roman" w:hAnsi="Times New Roman" w:eastAsia="Times New Roman"/>
          <w:b w:val="0"/>
          <w:sz w:val="20"/>
        </w:rPr>
        <w:t>Поставленная задача также отличается от классического обнаружения аномалий. Аномалия определяется относительно распределения сигналов, тогда как противоречащее свидетельство определяется относительно маржи конкретной модели. Поэтому компонент может быть статистически обычным, но модельно конфликтным, если его нейтрализация увеличивает запас текущего класса. Напротив, статистически необычный компонент не обязан быть значимым для решения модели, если его удаление почти не меняет маржу.</w:t>
      </w:r>
    </w:p>
    <w:p>
      <w:pPr>
        <w:spacing w:line="240" w:lineRule="auto" w:after="60" w:before="0"/>
        <w:ind w:firstLine="397"/>
        <w:jc w:val="both"/>
      </w:pPr>
      <w:r>
        <w:rPr>
          <w:rFonts w:ascii="Times New Roman" w:hAnsi="Times New Roman" w:eastAsia="Times New Roman"/>
          <w:b w:val="0"/>
          <w:sz w:val="20"/>
        </w:rPr>
        <w:t>В отличие от методов, ориентированных на визуальное объяснение всей последовательности, BEACON-XAI возвращает диагностический объект меньшего размера. Это делает метод удобным для последующей автоматической обработки: можно хранить только ранги top-k компонентов, агрегированные массы конфликта и хрупкости, а не полную карту важности. Такой формат согласуется с задачами мониторинга, где требуется обработать поток окон и сохранить только подозрительные случаи.</w:t>
      </w:r>
    </w:p>
    <w:p>
      <w:pPr>
        <w:spacing w:line="240" w:lineRule="auto" w:after="60" w:before="0"/>
        <w:ind w:firstLine="397"/>
        <w:jc w:val="both"/>
      </w:pPr>
      <w:r>
        <w:t xml:space="preserve">Преимущество BEACON-XAI проявляется именно в промежуточной зоне, где компонентная сетка достаточно детальна, чтобы локализовать конфликт, но бюджет существенно меньше числа компонентов. В этом режиме равномерная окклюзия не успевает проверить достаточно информативные фрагменты, а случайный выбор дает нестабильный ранг. Знаковая сортировка по </w:t>
      </w:r>
      <m:oMath>
        <m:r>
          <m:rPr>
            <m:sty m:val="p"/>
          </m:rPr>
          <m:t xml:space="preserve">Δ_g</m:t>
        </m:r>
      </m:oMath>
      <w:r>
        <w:t xml:space="preserve"> позволяет использовать каждый запрос как проверку гипотезы о локальном противоречии.</w:t>
      </w:r>
    </w:p>
    <w:p>
      <w:pPr>
        <w:spacing w:line="240" w:lineRule="auto" w:after="60" w:before="0"/>
        <w:ind w:firstLine="397"/>
        <w:jc w:val="both"/>
      </w:pPr>
      <w:r>
        <w:rPr>
          <w:rFonts w:ascii="Times New Roman" w:hAnsi="Times New Roman" w:eastAsia="Times New Roman"/>
          <w:b w:val="0"/>
          <w:sz w:val="20"/>
        </w:rPr>
        <w:t>Компонентная сетка в такой постановке становится частью модели аудита. Если компоненты слишком крупные, один элемент может одновременно содержать поддерживающую и конфликтную информацию. Если компоненты слишком мелкие, бюджет запросов расходуется на множество малых фрагментов, и вероятность проверки истинного конфликта снижается. Поэтому выбор сетки должен рассматриваться как параметр протокола, а не как произвольная визуализация.</w:t>
      </w:r>
    </w:p>
    <w:p>
      <w:pPr>
        <w:spacing w:line="240" w:lineRule="auto" w:after="60" w:before="0"/>
        <w:ind w:firstLine="397"/>
        <w:jc w:val="both"/>
      </w:pPr>
      <w:r>
        <w:t xml:space="preserve">Временные ряды отличаются от обычных табличных признаков тем, что локальный фрагмент не является независимой координатой. Его значение определяется соседними отсчетами, каналом, частотой дискретизации и динамикой класса. Поэтому простая замена фрагмента нулем может создавать неестественный вход, а интерпретация эффекта нейтрализации должна учитывать форму временного сигнала. В BEACON-XAI эта особенность учитывается через явный оператор </w:t>
      </w:r>
      <m:oMath>
        <m:r>
          <m:rPr>
            <m:sty m:val="p"/>
          </m:rPr>
          <m:t xml:space="preserve">N(x,g)</m:t>
        </m:r>
      </m:oMath>
      <w:r>
        <w:t>, который фиксируется до эксперимента.</w:t>
      </w:r>
    </w:p>
    <w:p>
      <w:pPr>
        <w:pStyle w:val="Heading1"/>
        <w:spacing w:line="240" w:lineRule="auto" w:after="60" w:before="0"/>
        <w:ind w:firstLine="0"/>
        <w:jc w:val="left"/>
      </w:pPr>
      <w:r>
        <w:rPr>
          <w:rFonts w:ascii="Times New Roman" w:hAnsi="Times New Roman" w:eastAsia="Times New Roman"/>
          <w:b/>
          <w:sz w:val="20"/>
        </w:rPr>
        <w:t>7. Заключение</w:t>
      </w:r>
    </w:p>
    <w:p>
      <w:pPr>
        <w:spacing w:line="240" w:lineRule="auto" w:after="60" w:before="0"/>
        <w:ind w:firstLine="397"/>
        <w:jc w:val="both"/>
      </w:pPr>
      <w:r>
        <w:rPr>
          <w:rFonts w:ascii="Times New Roman" w:hAnsi="Times New Roman" w:eastAsia="Times New Roman"/>
          <w:b w:val="0"/>
          <w:sz w:val="20"/>
        </w:rPr>
        <w:t>В настоящей статье формализована задача бюджетированного локального аудита решений моделей машинного обучения на временных рядах. В отличие от полной атрибуции, BEACON-XAI возвращает краткий список модельно-противоречащих компонентов и диагностическую панель, разделяющую локальный конфликт и хрупкость решения. Базовая проверка на PAMAP2 и WISDM подтверждает, что при малом бюджете обращений к модели метод превосходит равнозатратную uniform occlusion и random baseline по метрикам краткого списка. Сравнение с RISE-style masking и KernelSHAP-components показывает, что более дорогие методы могут давать более высокое качество при десятках и сотнях запросов, но BEACON-XAI занимает другую эксплуатационную нишу: локальный аудит при ограниченном числе обращений к модели. Получаемое состояние аудита может далее использоваться как компактный вход для диагностических политик риска, однако эта прикладная линия рассматривается отдельно от базовой методической проверки.</w:t>
      </w:r>
    </w:p>
    <w:p>
      <w:pPr>
        <w:pStyle w:val="Heading1"/>
        <w:spacing w:line="240" w:lineRule="auto" w:before="0" w:after="60"/>
        <w:ind w:firstLine="0"/>
        <w:jc w:val="left"/>
      </w:pPr>
      <w:r>
        <w:rPr>
          <w:rFonts w:ascii="Times New Roman" w:hAnsi="Times New Roman" w:eastAsia="Times New Roman"/>
          <w:b/>
          <w:sz w:val="20"/>
        </w:rPr>
        <w:t>Информация о вкладе авторов, конфликте интересов и доступности материалов</w:t>
      </w:r>
    </w:p>
    <w:p>
      <w:pPr>
        <w:spacing w:after="0" w:before="0"/>
      </w:pPr>
      <w:r>
        <w:rPr>
          <w:rFonts w:ascii="Times New Roman" w:hAnsi="Times New Roman"/>
          <w:sz w:val="20"/>
        </w:rPr>
        <w:t>Вклад авторов. Ю. В. Трофимов участвовал в реализации метода, подготовке кода и интерпретации результатов. М. Д. Лебедев и А. Д. Лебедев участвовали в реализации метода, подготовке экспериментального протокола, проведении вычислительных экспериментов и проверке воспроизводимости. А. Аверкин участвовал в постановке задачи, научном обсуждении метода и общей интерпретации результатов. Все авторы обсудили результаты и одобрили итоговую версию статьи.</w:t>
      </w:r>
    </w:p>
    <w:p>
      <w:pPr>
        <w:spacing w:line="240" w:lineRule="auto" w:after="60" w:before="0"/>
        <w:ind w:firstLine="397"/>
        <w:jc w:val="both"/>
      </w:pPr>
      <w:r>
        <w:rPr>
          <w:rFonts w:ascii="Times New Roman" w:hAnsi="Times New Roman" w:eastAsia="Times New Roman"/>
          <w:b w:val="0"/>
          <w:sz w:val="20"/>
        </w:rPr>
        <w:t>Конфликт интересов. Авторы заявляют об отсутствии конфликта интересов.</w:t>
      </w:r>
    </w:p>
    <w:p>
      <w:pPr>
        <w:spacing w:line="240" w:lineRule="auto" w:after="60" w:before="0"/>
        <w:ind w:firstLine="397"/>
        <w:jc w:val="both"/>
      </w:pPr>
      <w:r>
        <w:rPr>
          <w:rFonts w:ascii="Times New Roman" w:hAnsi="Times New Roman" w:eastAsia="Times New Roman"/>
          <w:b w:val="0"/>
          <w:sz w:val="20"/>
        </w:rPr>
        <w:t>Финансирование. Работа выполнена в рамках государственного задания Министерства науки и высшего образования Российской Федерации (тема № 124112200072-2).</w:t>
      </w:r>
    </w:p>
    <w:p>
      <w:pPr>
        <w:spacing w:line="240" w:lineRule="auto" w:after="60" w:before="0"/>
        <w:ind w:firstLine="397"/>
        <w:jc w:val="both"/>
      </w:pPr>
      <w:r>
        <w:t>Доступность данных и кода. Код и материалы воспроизводимости доступны в репозитории BeaconXAI: https://github.com/fims9000/BeaconXAI, тег v1.0-submission. Репозиторий содержит лицензию MIT, environment.yml, pyproject.toml, REPRODUCIBILITY.md, Makefile, smoke-тесты и сценарии регенерации таблиц. Исходные наборы данных не включаются в репозиторий, но для PAMAP2 и WISDM приведены инструкции подготовки локальных файлов и фиксирована политика случайных зерен.</w:t>
      </w:r>
    </w:p>
    <w:p>
      <w:pPr>
        <w:pStyle w:val="Heading1"/>
        <w:spacing w:line="240" w:lineRule="auto" w:before="0" w:after="60"/>
        <w:ind w:firstLine="0"/>
        <w:jc w:val="left"/>
      </w:pPr>
      <w:r>
        <w:rPr>
          <w:rFonts w:ascii="Times New Roman" w:hAnsi="Times New Roman" w:eastAsia="Times New Roman"/>
          <w:b/>
          <w:sz w:val="20"/>
        </w:rPr>
        <w:t>Список литературы</w:t>
      </w:r>
    </w:p>
    <w:p>
      <w:pPr>
        <w:spacing w:line="240" w:lineRule="auto" w:after="60" w:before="0"/>
        <w:ind w:firstLine="0"/>
        <w:jc w:val="left"/>
      </w:pPr>
      <w:r>
        <w:rPr>
          <w:rFonts w:ascii="Times New Roman" w:hAnsi="Times New Roman" w:eastAsia="Times New Roman"/>
          <w:b/>
          <w:sz w:val="20"/>
        </w:rPr>
        <w:t>1. Ribeiro M. T., Singh S., Guestrin C. Why Should I Trust You? Explaining the Predictions of Any Classifier // Proceedings of KDD. 2016.</w:t>
      </w:r>
    </w:p>
    <w:p>
      <w:pPr>
        <w:spacing w:line="240" w:lineRule="auto" w:after="60" w:before="0"/>
        <w:ind w:firstLine="0"/>
        <w:jc w:val="left"/>
      </w:pPr>
      <w:r>
        <w:rPr>
          <w:rFonts w:ascii="Times New Roman" w:hAnsi="Times New Roman" w:eastAsia="Times New Roman"/>
          <w:b/>
          <w:sz w:val="20"/>
        </w:rPr>
        <w:t>2. Lundberg S. M., Lee S.-I. A Unified Approach to Interpreting Model Predictions // Advances in Neural Information Processing Systems. 2017.</w:t>
      </w:r>
    </w:p>
    <w:p>
      <w:pPr>
        <w:spacing w:line="240" w:lineRule="auto" w:after="60" w:before="0"/>
        <w:ind w:firstLine="0"/>
        <w:jc w:val="left"/>
      </w:pPr>
      <w:r>
        <w:rPr>
          <w:rFonts w:ascii="Times New Roman" w:hAnsi="Times New Roman" w:eastAsia="Times New Roman"/>
          <w:b/>
          <w:sz w:val="20"/>
        </w:rPr>
        <w:t>3. Sundararajan M., Taly A., Yan Q. Axiomatic Attribution for Deep Networks // Proceedings of ICML. 2017.</w:t>
      </w:r>
    </w:p>
    <w:p>
      <w:pPr>
        <w:spacing w:line="240" w:lineRule="auto" w:after="60" w:before="0"/>
        <w:ind w:firstLine="0"/>
        <w:jc w:val="left"/>
      </w:pPr>
      <w:r>
        <w:rPr>
          <w:rFonts w:ascii="Times New Roman" w:hAnsi="Times New Roman" w:eastAsia="Times New Roman"/>
          <w:b/>
          <w:sz w:val="20"/>
        </w:rPr>
        <w:t>4. Petsiuk V., Das A., Saenko K. RISE: Randomized Input Sampling for Explanation of Black-box Models // British Machine Vision Conference. 2018.</w:t>
      </w:r>
    </w:p>
    <w:p>
      <w:pPr>
        <w:spacing w:line="240" w:lineRule="auto" w:after="60" w:before="0"/>
        <w:ind w:firstLine="0"/>
        <w:jc w:val="left"/>
      </w:pPr>
      <w:r>
        <w:rPr>
          <w:rFonts w:ascii="Times New Roman" w:hAnsi="Times New Roman" w:eastAsia="Times New Roman"/>
          <w:b/>
          <w:sz w:val="20"/>
        </w:rPr>
        <w:t>5. Fong R. C., Vedaldi A. Interpretable Explanations of Black Boxes by Meaningful Perturbation // Proceedings of ICCV. 2017.</w:t>
      </w:r>
    </w:p>
    <w:p>
      <w:pPr>
        <w:spacing w:line="240" w:lineRule="auto" w:after="60" w:before="0"/>
        <w:ind w:firstLine="0"/>
        <w:jc w:val="left"/>
      </w:pPr>
      <w:r>
        <w:rPr>
          <w:rFonts w:ascii="Times New Roman" w:hAnsi="Times New Roman" w:eastAsia="Times New Roman"/>
          <w:b/>
          <w:sz w:val="20"/>
        </w:rPr>
        <w:t>6. Crabbé J., van der Schaar M. Explaining Time Series Predictions with Dynamic Masks // Proceedings of ICML. 2021.</w:t>
      </w:r>
    </w:p>
    <w:p>
      <w:pPr>
        <w:spacing w:line="240" w:lineRule="auto" w:after="60" w:before="0"/>
        <w:ind w:firstLine="0"/>
        <w:jc w:val="left"/>
      </w:pPr>
      <w:r>
        <w:rPr>
          <w:rFonts w:ascii="Times New Roman" w:hAnsi="Times New Roman" w:eastAsia="Times New Roman"/>
          <w:b/>
          <w:sz w:val="20"/>
        </w:rPr>
        <w:t>7. Tonekaboni S., Joshi S., Campbell K., Duvenaud D., Goldenberg A. What Went Wrong and When? Instance-wise Feature Importance for Time-series Black-box Models // NeurIPS. 2020.</w:t>
      </w:r>
    </w:p>
    <w:p>
      <w:pPr>
        <w:spacing w:line="240" w:lineRule="auto" w:after="60" w:before="0"/>
        <w:ind w:firstLine="0"/>
        <w:jc w:val="left"/>
      </w:pPr>
      <w:r>
        <w:rPr>
          <w:rFonts w:ascii="Times New Roman" w:hAnsi="Times New Roman" w:eastAsia="Times New Roman"/>
          <w:b/>
          <w:sz w:val="20"/>
        </w:rPr>
        <w:t>8. Bento J., Saleiro P., Cruz A. F., Figueiredo M. A. T., Bizarro P. TimeSHAP: Explaining Recurrent Models through Sequence Perturbations // KDD Workshop / arXiv. 2020.</w:t>
      </w:r>
    </w:p>
    <w:p>
      <w:pPr>
        <w:spacing w:line="240" w:lineRule="auto" w:after="60" w:before="0"/>
        <w:ind w:firstLine="0"/>
        <w:jc w:val="left"/>
      </w:pPr>
      <w:r>
        <w:rPr>
          <w:rFonts w:ascii="Times New Roman" w:hAnsi="Times New Roman" w:eastAsia="Times New Roman"/>
          <w:b/>
          <w:sz w:val="20"/>
        </w:rPr>
        <w:t>9. Adebayo J., Gilmer J., Muelly M., Goodfellow I., Hardt M., Kim B. Sanity Checks for Saliency Maps // NeurIPS. 2018.</w:t>
      </w:r>
    </w:p>
    <w:p>
      <w:pPr>
        <w:spacing w:line="240" w:lineRule="auto" w:after="60" w:before="0"/>
        <w:ind w:firstLine="0"/>
        <w:jc w:val="left"/>
      </w:pPr>
      <w:r>
        <w:rPr>
          <w:rFonts w:ascii="Times New Roman" w:hAnsi="Times New Roman" w:eastAsia="Times New Roman"/>
          <w:b/>
          <w:sz w:val="20"/>
        </w:rPr>
        <w:t>10. Molnar C. Interpretable Machine Learning. 2nd ed. 2022.</w:t>
      </w:r>
    </w:p>
    <w:p>
      <w:pPr>
        <w:spacing w:line="240" w:lineRule="auto" w:after="60" w:before="0"/>
        <w:ind w:firstLine="0"/>
        <w:jc w:val="left"/>
      </w:pPr>
      <w:r>
        <w:rPr>
          <w:rFonts w:ascii="Times New Roman" w:hAnsi="Times New Roman" w:eastAsia="Times New Roman"/>
          <w:b/>
          <w:sz w:val="20"/>
        </w:rPr>
        <w:t>11. Guidotti R., Monreale A., Ruggieri S., Turini F., Giannotti F., Pedreschi D. A Survey of Methods for Explaining Black Box Models // ACM Computing Surveys. 2018.</w:t>
      </w:r>
    </w:p>
    <w:p>
      <w:pPr>
        <w:spacing w:line="240" w:lineRule="auto" w:after="60" w:before="0"/>
        <w:ind w:firstLine="0"/>
        <w:jc w:val="left"/>
      </w:pPr>
      <w:r>
        <w:rPr>
          <w:rFonts w:ascii="Times New Roman" w:hAnsi="Times New Roman" w:eastAsia="Times New Roman"/>
          <w:b/>
          <w:sz w:val="20"/>
        </w:rPr>
        <w:t>12. Wachter S., Mittelstadt B., Russell C. Counterfactual Explanations without Opening the Black Box // Harvard Journal of Law &amp; Technology. 2017.</w:t>
      </w:r>
    </w:p>
    <w:p>
      <w:pPr>
        <w:spacing w:line="240" w:lineRule="auto" w:after="60" w:before="0"/>
        <w:ind w:firstLine="0"/>
        <w:jc w:val="left"/>
      </w:pPr>
      <w:r>
        <w:rPr>
          <w:rFonts w:ascii="Times New Roman" w:hAnsi="Times New Roman" w:eastAsia="Times New Roman"/>
          <w:b/>
          <w:sz w:val="20"/>
        </w:rPr>
        <w:t>13. Mothilal R. K., Sharma A., Tan C. Explaining Machine Learning Classifiers through Diverse Counterfactual Explanations // FAT*. 2020.</w:t>
      </w:r>
    </w:p>
    <w:p>
      <w:pPr>
        <w:spacing w:line="240" w:lineRule="auto" w:after="60" w:before="0"/>
        <w:ind w:firstLine="0"/>
        <w:jc w:val="left"/>
      </w:pPr>
      <w:r>
        <w:rPr>
          <w:rFonts w:ascii="Times New Roman" w:hAnsi="Times New Roman" w:eastAsia="Times New Roman"/>
          <w:b/>
          <w:sz w:val="20"/>
        </w:rPr>
        <w:t>14. Karimi A.-H., Barthe G., Schölkopf B., Valera I. A Survey of Algorithmic Recourse // ACM Computing Surveys. 2022.</w:t>
      </w:r>
    </w:p>
    <w:p>
      <w:pPr>
        <w:spacing w:line="240" w:lineRule="auto" w:after="60" w:before="0"/>
        <w:ind w:firstLine="0"/>
        <w:jc w:val="left"/>
      </w:pPr>
      <w:r>
        <w:rPr>
          <w:rFonts w:ascii="Times New Roman" w:hAnsi="Times New Roman" w:eastAsia="Times New Roman"/>
          <w:b/>
          <w:sz w:val="20"/>
        </w:rPr>
        <w:t>15. Watson D. S., Floridi L. The Explanation Game: A Formal Framework for Interpretable Machine Learning // Synthese. 2021.</w:t>
      </w:r>
    </w:p>
    <w:p>
      <w:pPr>
        <w:spacing w:line="240" w:lineRule="auto" w:after="60" w:before="0"/>
        <w:ind w:firstLine="0"/>
        <w:jc w:val="left"/>
      </w:pPr>
      <w:r>
        <w:rPr>
          <w:rFonts w:ascii="Times New Roman" w:hAnsi="Times New Roman" w:eastAsia="Times New Roman"/>
          <w:b/>
          <w:sz w:val="20"/>
        </w:rPr>
        <w:t>16. Bhatt U., Weller A., Moura J. M. F. Evaluating and Aggregating Feature-based Model Explanations // IJCAI. 2020.</w:t>
      </w:r>
    </w:p>
    <w:p>
      <w:pPr>
        <w:spacing w:line="240" w:lineRule="auto" w:after="60" w:before="0"/>
        <w:ind w:firstLine="0"/>
        <w:jc w:val="left"/>
      </w:pPr>
      <w:r>
        <w:rPr>
          <w:rFonts w:ascii="Times New Roman" w:hAnsi="Times New Roman" w:eastAsia="Times New Roman"/>
          <w:b/>
          <w:sz w:val="20"/>
        </w:rPr>
        <w:t>17. Schlegel U., Arnout H., El-Assady M., Oelke D., Keim D. A. Towards a Rigorous Evaluation of XAI Methods on Time Series // ICCV Workshop. 2019.</w:t>
      </w:r>
    </w:p>
    <w:p>
      <w:pPr>
        <w:spacing w:line="240" w:lineRule="auto" w:after="60" w:before="0"/>
        <w:ind w:firstLine="0"/>
        <w:jc w:val="left"/>
      </w:pPr>
      <w:r>
        <w:rPr>
          <w:rFonts w:ascii="Times New Roman" w:hAnsi="Times New Roman" w:eastAsia="Times New Roman"/>
          <w:b/>
          <w:sz w:val="20"/>
        </w:rPr>
        <w:t>18. Anguita D., Ghio A., Oneto L., Parra X., Reyes-Ortiz J. L. A Public Domain Dataset for Human Activity Recognition Using Smartphones // ESANN. 2013.</w:t>
      </w:r>
    </w:p>
    <w:p>
      <w:pPr>
        <w:spacing w:line="240" w:lineRule="auto" w:after="60" w:before="0"/>
        <w:ind w:firstLine="0"/>
        <w:jc w:val="left"/>
      </w:pPr>
      <w:r>
        <w:rPr>
          <w:rFonts w:ascii="Times New Roman" w:hAnsi="Times New Roman" w:eastAsia="Times New Roman"/>
          <w:b/>
          <w:sz w:val="20"/>
        </w:rPr>
        <w:t>19. Reiss A., Stricker D. Introducing a New Benchmarked Dataset for Activity Monitoring // ISWC. 2012.</w:t>
      </w:r>
    </w:p>
    <w:p>
      <w:pPr>
        <w:spacing w:line="240" w:lineRule="auto" w:after="60" w:before="0"/>
        <w:ind w:firstLine="0"/>
        <w:jc w:val="left"/>
      </w:pPr>
      <w:r>
        <w:rPr>
          <w:rFonts w:ascii="Times New Roman" w:hAnsi="Times New Roman" w:eastAsia="Times New Roman"/>
          <w:b/>
          <w:sz w:val="20"/>
        </w:rPr>
        <w:t>20. Kwapisz J. R., Weiss G. M., Moore S. A. Activity Recognition using Cell Phone Accelerometers // SIGKDD Explorations. 2011.</w:t>
      </w:r>
    </w:p>
    <w:p>
      <w:pPr>
        <w:spacing w:line="240" w:lineRule="auto" w:after="60" w:before="0"/>
        <w:ind w:firstLine="0"/>
        <w:jc w:val="left"/>
      </w:pPr>
      <w:r>
        <w:rPr>
          <w:rFonts w:ascii="Times New Roman" w:hAnsi="Times New Roman" w:eastAsia="Times New Roman"/>
          <w:b/>
          <w:sz w:val="20"/>
        </w:rPr>
        <w:t>21. Lin T. Y., Goyal P., Girshick R., He K., Dollár P. Focal Loss for Dense Object Detection // ICCV. 2017.</w:t>
      </w:r>
    </w:p>
    <w:p>
      <w:pPr>
        <w:spacing w:line="240" w:lineRule="auto" w:after="60" w:before="0"/>
        <w:ind w:firstLine="0"/>
        <w:jc w:val="left"/>
      </w:pPr>
      <w:r>
        <w:rPr>
          <w:rFonts w:ascii="Times New Roman" w:hAnsi="Times New Roman" w:eastAsia="Times New Roman"/>
          <w:b/>
          <w:sz w:val="20"/>
        </w:rPr>
        <w:t>22. Banbury C. et al. MLPerf Tiny Benchmark // NeurIPS Datasets and Benchmarks. 2021.</w:t>
      </w:r>
    </w:p>
    <w:p>
      <w:pPr>
        <w:spacing w:line="240" w:lineRule="auto" w:after="60" w:before="0"/>
        <w:ind w:firstLine="0"/>
        <w:jc w:val="left"/>
      </w:pPr>
      <w:r>
        <w:rPr>
          <w:rFonts w:ascii="Times New Roman" w:hAnsi="Times New Roman" w:eastAsia="Times New Roman"/>
          <w:b/>
          <w:sz w:val="20"/>
        </w:rPr>
        <w:t>23. Warden P., Situnayake D. TinyML: Machine Learning with TensorFlow Lite on Arduino and Ultra-Low-Power Microcontrollers. O’Reilly, 2019.</w:t>
      </w:r>
    </w:p>
    <w:p>
      <w:pPr>
        <w:spacing w:line="240" w:lineRule="auto" w:after="60" w:before="0"/>
        <w:ind w:firstLine="0"/>
        <w:jc w:val="left"/>
      </w:pPr>
      <w:r>
        <w:rPr>
          <w:rFonts w:ascii="Times New Roman" w:hAnsi="Times New Roman" w:eastAsia="Times New Roman"/>
          <w:b/>
          <w:sz w:val="20"/>
        </w:rPr>
        <w:t>24. David R. et al. TensorFlow Lite Micro: Embedded Machine Learning for TinyML Systems // MLSys. 2021.</w:t>
      </w:r>
    </w:p>
    <w:p>
      <w:pPr>
        <w:spacing w:line="240" w:lineRule="auto" w:after="60" w:before="0"/>
        <w:ind w:firstLine="0"/>
        <w:jc w:val="left"/>
      </w:pPr>
      <w:r>
        <w:rPr>
          <w:rFonts w:ascii="Times New Roman" w:hAnsi="Times New Roman" w:eastAsia="Times New Roman"/>
          <w:b/>
          <w:sz w:val="20"/>
        </w:rPr>
        <w:t>25. Gunning D., Aha D. DARPA’s Explainable Artificial Intelligence Program // AI Magazine. 2019.</w:t>
      </w:r>
    </w:p>
    <w:p>
      <w:pPr>
        <w:spacing w:line="240" w:lineRule="auto" w:after="60" w:before="0"/>
        <w:ind w:firstLine="0"/>
        <w:jc w:val="left"/>
      </w:pPr>
      <w:r>
        <w:rPr>
          <w:rFonts w:ascii="Times New Roman" w:hAnsi="Times New Roman" w:eastAsia="Times New Roman"/>
          <w:b/>
          <w:sz w:val="20"/>
        </w:rPr>
        <w:t>26. Theissler A. et al. Explainable AI for Time Series Classification: A Review, Taxonomy and Research Directions // IEEE Access. 2022.</w:t>
      </w:r>
    </w:p>
    <w:p>
      <w:pPr>
        <w:spacing w:after="0" w:before="0" w:line="240" w:lineRule="auto"/>
      </w:pPr>
    </w:p>
    <w:p/>
    <w:p/>
    <w:p/>
    <w:p/>
    <w:sectPr>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before="0"/>
      <w:ind w:firstLine="397"/>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ind w:firstLine="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40" w:lineRule="auto" w:before="0"/>
      <w:ind w:firstLine="397"/>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