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pPr>
      <w:r>
        <w:rPr>
          <w:rFonts w:ascii="Times New Roman" w:hAnsi="Times New Roman" w:eastAsia="Times New Roman"/>
          <w:b w:val="0"/>
          <w:i w:val="0"/>
          <w:sz w:val="20"/>
        </w:rPr>
        <w:t>УДК 004.89</w:t>
      </w:r>
    </w:p>
    <w:p>
      <w:pPr>
        <w:spacing w:after="0" w:before="0" w:line="240" w:lineRule="auto"/>
        <w:jc w:val="center"/>
      </w:pPr>
      <w:r>
        <w:rPr>
          <w:rFonts w:ascii="Times New Roman" w:hAnsi="Times New Roman" w:eastAsia="Times New Roman"/>
          <w:b/>
          <w:i w:val="0"/>
          <w:sz w:val="20"/>
        </w:rPr>
        <w:t>Компактные диагностические политики BEACON-XAI для аудита риска и скрытых сенсорных конфликтов в ресурсно-ограниченных периферийных системах</w:t>
      </w:r>
    </w:p>
    <w:p>
      <w:pPr>
        <w:spacing w:after="0" w:before="0" w:line="240" w:lineRule="auto"/>
        <w:jc w:val="center"/>
      </w:pPr>
      <w:r>
        <w:rPr>
          <w:rFonts w:ascii="Times New Roman" w:hAnsi="Times New Roman" w:eastAsia="Times New Roman"/>
          <w:b/>
          <w:i w:val="0"/>
          <w:sz w:val="20"/>
        </w:rPr>
        <w:t>Compact diagnostic policies of BEACON-XAI for risk auditing and hidden sensor conflict detection in resource-constrained edge systems</w:t>
      </w:r>
    </w:p>
    <w:p>
      <w:pPr>
        <w:spacing w:after="0" w:before="0" w:line="240" w:lineRule="auto"/>
        <w:jc w:val="center"/>
      </w:pPr>
      <w:r>
        <w:rPr>
          <w:rFonts w:ascii="Times New Roman" w:hAnsi="Times New Roman" w:eastAsia="Times New Roman"/>
          <w:b/>
          <w:i w:val="0"/>
          <w:sz w:val="20"/>
        </w:rPr>
        <w:t>Трофимов Юрий Владиславович¹, Лебедев Михаил Дмитриевич², Лебедев Александр Дмитриевич³, Аверкин Алексей⁴</w:t>
      </w:r>
    </w:p>
    <w:p>
      <w:pPr>
        <w:spacing w:after="0" w:before="0" w:line="240" w:lineRule="auto"/>
      </w:pPr>
      <w:r>
        <w:rPr>
          <w:rFonts w:ascii="Times New Roman" w:hAnsi="Times New Roman" w:eastAsia="Times New Roman"/>
          <w:b w:val="0"/>
          <w:i w:val="0"/>
          <w:sz w:val="20"/>
        </w:rPr>
        <w:t>¹ Младший научный сотрудник, Государственный университет «Дубна»; инженер-программист, Объединённый институт ядерных исследований; 141980, Московская область, г. Дубна; e-mail: ytrofimov@jinr.ru.</w:t>
      </w:r>
    </w:p>
    <w:p>
      <w:pPr>
        <w:spacing w:after="0" w:before="0" w:line="240" w:lineRule="auto"/>
      </w:pPr>
      <w:r>
        <w:rPr>
          <w:rFonts w:ascii="Times New Roman" w:hAnsi="Times New Roman" w:eastAsia="Times New Roman"/>
          <w:b w:val="0"/>
          <w:i w:val="0"/>
          <w:sz w:val="20"/>
        </w:rPr>
        <w:t>² Студент, Национальный исследовательский технологический университет «МИСИС»; Россия, 119049, г. Москва; e-mail: lebedevmisha2003@gmail.ru.</w:t>
      </w:r>
    </w:p>
    <w:p>
      <w:pPr>
        <w:spacing w:after="0" w:before="0" w:line="240" w:lineRule="auto"/>
      </w:pPr>
      <w:r>
        <w:rPr>
          <w:rFonts w:ascii="Times New Roman" w:hAnsi="Times New Roman" w:eastAsia="Times New Roman"/>
          <w:b w:val="0"/>
          <w:i w:val="0"/>
          <w:sz w:val="20"/>
        </w:rPr>
        <w:t>³ Студент, Государственный университет «Дубна»; 141980, Московская область, г. Дубна, ул. Университетская, 19; e-mail: lad.24@uni-dubna.ru.</w:t>
      </w:r>
    </w:p>
    <w:p>
      <w:pPr>
        <w:spacing w:after="0" w:before="0" w:line="240" w:lineRule="auto"/>
      </w:pPr>
      <w:r>
        <w:rPr>
          <w:rFonts w:ascii="Times New Roman" w:hAnsi="Times New Roman" w:eastAsia="Times New Roman"/>
          <w:b w:val="0"/>
          <w:i w:val="0"/>
          <w:sz w:val="20"/>
        </w:rPr>
        <w:t>⁴ Кандидат физико-математических наук, доцент, Государственный университет «Дубна»; г. Дубна, Россия; e-mail: averkin2003@inbox.ru.</w:t>
      </w:r>
    </w:p>
    <w:p>
      <w:pPr>
        <w:spacing w:after="0" w:before="0" w:line="240" w:lineRule="auto"/>
      </w:pPr>
      <w:r>
        <w:rPr>
          <w:rFonts w:ascii="Times New Roman" w:hAnsi="Times New Roman" w:eastAsia="Times New Roman"/>
          <w:b/>
          <w:i w:val="0"/>
          <w:sz w:val="20"/>
        </w:rPr>
        <w:t>Аннотация</w:t>
      </w:r>
    </w:p>
    <w:p>
      <w:pPr>
        <w:spacing w:after="0" w:before="0" w:line="240" w:lineRule="auto"/>
        <w:ind w:firstLine="397"/>
      </w:pPr>
      <w:r>
        <w:rPr>
          <w:rFonts w:ascii="Times New Roman" w:hAnsi="Times New Roman" w:eastAsia="Times New Roman"/>
          <w:b w:val="0"/>
          <w:i w:val="0"/>
          <w:sz w:val="20"/>
        </w:rPr>
      </w:r>
      <w:r>
        <w:rPr>
          <w:rFonts w:ascii="Times New Roman" w:hAnsi="Times New Roman" w:eastAsia="Times New Roman"/>
          <w:sz w:val="20"/>
        </w:rPr>
        <w:t>Проблема ресурсно-ограниченного объяснимого искусственного интеллекта состоит не только в построении полной карты важности, но и в принятии короткого диагностического решения при малом числе обращений к модели. В первой части исследования был представлен метод BEACON-XAI, формирующий признаки локального конфликта и хрупкости решения. Цель настоящей статьи состоит в проверке того, как эти признаки могут использоваться как компактное состояние аудита для различных диагностических политик. Предлагается единая схема BEACON -&gt; a(x) -&gt; h(a(x)), где a(x) представляет малый вектор признаков аудита, а h(a(x)) задаёт скалярный порог, линейную панель, вероятностический TAN-детектор, нечёткую политику или мягкое смешивание logit- и fuzzy-скорингов. Эксперименты выполнены на UCI HAR с классификатором ExtraTrees, бюджетом Q=16 и сбалансированным набором normal/conflict из 5000 объектов. Параметры политик подбирались на train/validation-разбиении, а test использовался только для финальной оценки. Линейная панель показала наилучшее качество: при бюджете оповещений 10% F1 составила 0,231 против 0,123 у скалярного порога. Нечёткая политика fuzzy-only v4 улучшила скалярный baseline до F1=0,179 и AUPRC=0,415, но уступила линейной панели. Фиксированное смешивание soft-mix fixed v4 оказалось близким к logit-panel, однако не дало статистически подтверждённого преимущества. Для диагностического слоя выполнена симуляционная оценка TinyXAI-ресурсов, показывающая малые требования к RAM, Flash и времени вывода. Полученные результаты показывают, что BEACON-признаки пригодны для компактного аудита риска, а выбор политики должен учитывать компромисс между качеством, интерпретируемостью и простотой реализации.</w:t>
      </w:r>
    </w:p>
    <w:p>
      <w:pPr>
        <w:spacing w:after="0" w:before="0" w:line="240" w:lineRule="auto"/>
      </w:pPr>
      <w:r>
        <w:rPr>
          <w:rFonts w:ascii="Times New Roman" w:hAnsi="Times New Roman" w:eastAsia="Times New Roman"/>
          <w:b w:val="0"/>
          <w:i w:val="0"/>
          <w:sz w:val="20"/>
        </w:rPr>
        <w:t>Ключевые слова: BEACON-XAI; объяснимый искусственный интеллект; TinyXAI; TAN; нечеткая логика; аудит риска; временные ряды; сенсорные конфликты.</w:t>
      </w:r>
    </w:p>
    <w:p>
      <w:pPr>
        <w:spacing w:after="0" w:before="0" w:line="240" w:lineRule="auto"/>
      </w:pPr>
      <w:r>
        <w:rPr>
          <w:rFonts w:ascii="Times New Roman" w:hAnsi="Times New Roman" w:eastAsia="Times New Roman"/>
          <w:b/>
          <w:i w:val="0"/>
          <w:sz w:val="20"/>
        </w:rPr>
        <w:t>Abstract</w:t>
      </w:r>
    </w:p>
    <w:p>
      <w:pPr>
        <w:spacing w:after="0" w:before="0" w:line="240" w:lineRule="auto"/>
        <w:ind w:firstLine="397"/>
      </w:pPr>
      <w:r>
        <w:rPr>
          <w:rFonts w:ascii="Times New Roman" w:hAnsi="Times New Roman" w:eastAsia="Times New Roman"/>
          <w:b w:val="0"/>
          <w:i w:val="0"/>
          <w:sz w:val="20"/>
        </w:rPr>
      </w:r>
      <w:r>
        <w:rPr>
          <w:rFonts w:ascii="Times New Roman" w:hAnsi="Times New Roman" w:eastAsia="Times New Roman"/>
          <w:sz w:val="20"/>
        </w:rPr>
        <w:t>Resource-constrained explainable artificial intelligence requires not only full attribution maps, but also compact diagnostic decisions under a limited number of model queries. The first part of the study introduced BEACON-XAI as a method that extracts local conflict and fragility features from a model decision. The goal of this paper is to evaluate how these features can be used as a compact audit state for different diagnostic policies. We formulate the pipeline as BEACON -&gt; a(x) -&gt; h(a(x)), where a(x) is a small audit vector and h(a(x)) is implemented as a scalar threshold, a linear logit panel, a Tree-Augmented Naive Bayes detector, a fuzzy rule-based policy, or a soft mixture of logit and fuzzy scores. Experiments are conducted on UCI HAR with an ExtraTrees classifier, a query budget Q=16, and a balanced normal/conflict detection set of 5000 samples. All policy parameters are calibrated on train/validation splits, while the test split is used only for final evaluation. The linear panel achieves the best performance: at a 10% alert budget, its F1-score is 0.231 compared with 0.123 for the scalar threshold. The fuzzy-only v4 policy improves the scalar baseline to F1=0.179 and AUPRC=0.415, but remains below the logit panel. The fixed soft-mix v4 policy is close to the logit panel, but does not provide a statistically confirmed improvement. We also provide a simulation-based TinyXAI resource estimate for the diagnostic layer, showing low RAM, Flash, and inference-time requirements. The results show that BEACON features can support compact risk auditing, while the final policy should be selected according to the trade-off between accuracy, interpretability, and implementation simplicity.</w:t>
      </w:r>
    </w:p>
    <w:p>
      <w:pPr>
        <w:spacing w:after="0" w:before="0" w:line="240" w:lineRule="auto"/>
      </w:pPr>
      <w:r>
        <w:rPr>
          <w:rFonts w:ascii="Times New Roman" w:hAnsi="Times New Roman" w:eastAsia="Times New Roman"/>
          <w:b w:val="0"/>
          <w:i w:val="0"/>
          <w:sz w:val="20"/>
        </w:rPr>
        <w:t>Keywords: BEACON-XAI; explainable artificial intelligence; TinyXAI; TAN; fuzzy logic; risk auditing; time series; sensor conflicts.</w:t>
      </w:r>
    </w:p>
    <w:p>
      <w:pPr>
        <w:spacing w:after="0" w:before="120" w:line="240" w:lineRule="auto"/>
      </w:pPr>
      <w:r>
        <w:rPr>
          <w:rFonts w:ascii="Times New Roman" w:hAnsi="Times New Roman" w:eastAsia="Times New Roman"/>
          <w:b/>
          <w:sz w:val="20"/>
        </w:rPr>
        <w:t>1. Введение</w:t>
      </w:r>
    </w:p>
    <w:p>
      <w:pPr>
        <w:spacing w:after="0" w:before="0" w:line="240" w:lineRule="auto"/>
        <w:ind w:firstLine="397"/>
      </w:pPr>
      <w:r>
        <w:rPr>
          <w:rFonts w:ascii="Times New Roman" w:hAnsi="Times New Roman" w:eastAsia="Times New Roman"/>
          <w:b w:val="0"/>
          <w:i w:val="0"/>
          <w:sz w:val="20"/>
        </w:rPr>
        <w:t>Методы объяснимого искусственного интеллекта обычно строят локальные или глобальные карты важности признаков. Такой подход полезен при исследовании модели, но в ресурсно-ограниченной периферийной системе часто требуется другое действие: быстро определить, заслуживает ли конкретное решение повторной проверки, сохранения в журнале или передачи оператору. В такой постановке полная атрибуция может быть избыточной, а простая маржа не всегда различает слабое, конфликтное и хрупкое решение.</w:t>
      </w:r>
    </w:p>
    <w:p>
      <w:pPr>
        <w:spacing w:after="0" w:before="0" w:line="240" w:lineRule="auto"/>
        <w:ind w:firstLine="397"/>
      </w:pPr>
      <w:r>
        <w:rPr>
          <w:rFonts w:ascii="Times New Roman" w:hAnsi="Times New Roman" w:eastAsia="Times New Roman"/>
          <w:b w:val="0"/>
          <w:i w:val="0"/>
          <w:sz w:val="20"/>
        </w:rPr>
        <w:t>Первая часть исследования была посвящена формальной постановке бюджетированного локального аудита и базовой проверке BEACON-XAI на временных рядах. В ней было показано, что знаковый эффект нейтрализации компонента позволяет отделять поддерживающие и противоречащие фрагменты входа, а также формировать диагностическую панель локального конфликта и хрупкости.</w:t>
      </w:r>
    </w:p>
    <w:p>
      <w:pPr>
        <w:spacing w:after="0" w:before="0" w:line="240" w:lineRule="auto"/>
        <w:ind w:firstLine="397"/>
      </w:pPr>
      <w:r>
        <w:rPr>
          <w:rFonts w:ascii="Times New Roman" w:hAnsi="Times New Roman" w:eastAsia="Times New Roman"/>
          <w:b w:val="0"/>
          <w:i w:val="0"/>
          <w:sz w:val="20"/>
        </w:rPr>
        <w:t>Настоящая статья развивает этот аппарат в прикладном направлении. Основной вопрос состоит не в том, какой компонент входа следует поставить первым в ранге, а в том, какая компактная политика может использовать BEACON-признаки для аудита риска. Поэтому BEACON рассматривается как оператор, переводящий исходное окно в малый вектор аудита a(x), а дальнейшее решение задаётся функцией h(a(x)).</w:t>
      </w:r>
    </w:p>
    <w:p>
      <w:pPr>
        <w:spacing w:after="0" w:before="0" w:line="240" w:lineRule="auto"/>
        <w:ind w:firstLine="397"/>
      </w:pPr>
      <w:r>
        <w:rPr>
          <w:rFonts w:ascii="Times New Roman" w:hAnsi="Times New Roman" w:eastAsia="Times New Roman"/>
          <w:b w:val="0"/>
          <w:i w:val="0"/>
          <w:sz w:val="20"/>
        </w:rPr>
        <w:t>Термин TinyXAI используется здесь в ограниченном смысле. Работа не заявляет готовую микроконтроллерную реализацию. Под TinyXAI-подходом понимается компактный диагностический слой, ограниченный числом запросов к модели, малым состоянием и простой логикой принятия решения. Такой слой может быть реализован как порог, линейная функция, таблица условных вероятностей или небольшой набор нечётких правил.</w:t>
      </w:r>
    </w:p>
    <w:p>
      <w:pPr>
        <w:spacing w:after="0" w:before="0" w:line="240" w:lineRule="auto"/>
        <w:ind w:firstLine="397"/>
      </w:pPr>
      <w:r>
        <w:rPr>
          <w:rFonts w:ascii="Times New Roman" w:hAnsi="Times New Roman" w:eastAsia="Times New Roman"/>
          <w:b w:val="0"/>
          <w:i w:val="0"/>
          <w:sz w:val="20"/>
        </w:rPr>
      </w:r>
      <w:r>
        <w:rPr>
          <w:rFonts w:ascii="Times New Roman" w:hAnsi="Times New Roman" w:eastAsia="Times New Roman"/>
          <w:sz w:val="20"/>
        </w:rPr>
        <w:t>Цель статьи состоит в сравнении нескольких политик h(a(x)) над одним и тем же BEACON-вектором: скалярного порога, линейной панели, Tree-Augmented Naive Bayes, нечёткой политики и мягкого смешивания logit- и fuzzy-скорингов. Гибридные gate-схемы и TAN рассматриваются как дополнительные проверки границ применимости. Все политики оцениваются по единому train/validation/test-протоколу, что позволяет отделить качество извлечения BEACON-признаков от качества решающей политики.</w:t>
      </w:r>
    </w:p>
    <w:p>
      <w:pPr>
        <w:spacing w:after="0" w:before="120" w:line="240" w:lineRule="auto"/>
      </w:pPr>
      <w:r>
        <w:rPr>
          <w:rFonts w:ascii="Times New Roman" w:hAnsi="Times New Roman" w:eastAsia="Times New Roman"/>
          <w:b/>
          <w:sz w:val="20"/>
        </w:rPr>
        <w:t>2. Методологический контекст: XAI, TinyXAI и компактные политики риска</w:t>
      </w:r>
    </w:p>
    <w:p>
      <w:pPr>
        <w:spacing w:after="0" w:before="0" w:line="240" w:lineRule="auto"/>
        <w:ind w:firstLine="397"/>
      </w:pPr>
      <w:r>
        <w:rPr>
          <w:rFonts w:ascii="Times New Roman" w:hAnsi="Times New Roman" w:eastAsia="Times New Roman"/>
          <w:b w:val="0"/>
          <w:i w:val="0"/>
          <w:sz w:val="20"/>
        </w:rPr>
        <w:t>Классические методы LIME, SHAP, Integrated Gradients, RISE и perturbation-based occlusion строят объяснения через локальную аппроксимацию, оценку вкладов признаков или множественные возмущения входа [1-5]. Для временных рядов задача усложняется, поскольку важны не отдельные признаки, а временные фрагменты, каналы, форма сигнала и динамика класса [6-8, 17, 26].</w:t>
      </w:r>
    </w:p>
    <w:p>
      <w:pPr>
        <w:spacing w:after="0" w:before="0" w:line="240" w:lineRule="auto"/>
        <w:ind w:firstLine="397"/>
      </w:pPr>
      <w:r>
        <w:rPr>
          <w:rFonts w:ascii="Times New Roman" w:hAnsi="Times New Roman" w:eastAsia="Times New Roman"/>
          <w:b w:val="0"/>
          <w:i w:val="0"/>
          <w:sz w:val="20"/>
        </w:rPr>
        <w:t>В периферийных сценариях объяснение должно быть не только информативным, но и операционно полезным. TinyML-ориентированные работы подчёркивают ограничения по памяти, времени вычисления и энергии [22-24]. Однако даже сжатая модель требует внешнего механизма аудита, если нужно понять, какие решения являются рискованными. Поэтому компактная политика риска оказывается естественным дополнением к локальному объяснению.</w:t>
      </w:r>
    </w:p>
    <w:p>
      <w:pPr>
        <w:spacing w:after="0" w:before="0" w:line="240" w:lineRule="auto"/>
        <w:ind w:firstLine="397"/>
      </w:pPr>
      <w:r>
        <w:rPr>
          <w:rFonts w:ascii="Times New Roman" w:hAnsi="Times New Roman" w:eastAsia="Times New Roman"/>
          <w:b w:val="0"/>
          <w:i w:val="0"/>
          <w:sz w:val="20"/>
        </w:rPr>
        <w:t>BEACON-XAI занимает промежуточную позицию между полной атрибуцией и статистическим детектором аномалий. Он не заменяет универсальные методы объяснения, но решает более узкую задачу: при фиксированном бюджете запросов получить краткое состояние локального конфликта и хрупкости. Это состояние может использоваться разными политиками принятия решения.</w:t>
      </w:r>
    </w:p>
    <w:p>
      <w:pPr>
        <w:spacing w:after="0" w:before="0" w:line="240" w:lineRule="auto"/>
        <w:ind w:firstLine="397"/>
      </w:pPr>
      <w:r>
        <w:rPr>
          <w:rFonts w:ascii="Times New Roman" w:hAnsi="Times New Roman" w:eastAsia="Times New Roman"/>
          <w:b w:val="0"/>
          <w:i w:val="0"/>
          <w:sz w:val="20"/>
        </w:rPr>
        <w:t>Вероятностные и нечёткие политики имеют разные преимущества. TAN допускает зависимости между дискретизированными признаками и возвращает вероятность скрытого конфликта. Нечёткая политика задаёт читаемые правила вида «если конфликт высок и маржа слаба, риск высок». Линейная панель менее выразительна для оператора, но часто лучше использует численные признаки. Сравнение этих вариантов и является предметом второй части исследования.</w:t>
      </w:r>
    </w:p>
    <w:p>
      <w:pPr>
        <w:spacing w:after="0" w:before="120" w:line="240" w:lineRule="auto"/>
      </w:pPr>
      <w:r>
        <w:rPr>
          <w:rFonts w:ascii="Times New Roman" w:hAnsi="Times New Roman" w:eastAsia="Times New Roman"/>
          <w:b/>
          <w:sz w:val="20"/>
        </w:rPr>
        <w:t>3. BEACON-признаки как компактное состояние аудита</w:t>
      </w:r>
    </w:p>
    <w:p>
      <w:pPr>
        <w:spacing w:after="0" w:before="0" w:line="240" w:lineRule="auto"/>
        <w:ind w:firstLine="397"/>
      </w:pPr>
      <w:r>
        <w:rPr>
          <w:rFonts w:ascii="Times New Roman" w:hAnsi="Times New Roman" w:eastAsia="Times New Roman"/>
          <w:b w:val="0"/>
          <w:i w:val="0"/>
          <w:sz w:val="20"/>
        </w:rPr>
        <w:t>Пусть задан обученный классификатор f, входное окно x, предсказанный класс ŷ, разбиение входа на компоненты G={g_1,...,g_M}, оператор нейтрализации N(x,g) и бюджет Q. Для каждого проверенного компонента вычисляется эффект нейтрализации:</w:t>
      </w:r>
    </w:p>
    <w:p>
      <w:pPr>
        <w:spacing w:before="60" w:after="60" w:line="240" w:lineRule="auto"/>
        <w:jc w:val="center"/>
      </w:pPr>
      <w:r>
        <w:rPr>
          <w:rFonts w:ascii="Times New Roman" w:hAnsi="Times New Roman" w:eastAsia="Times New Roman"/>
          <w:sz w:val="20"/>
        </w:rPr>
        <w:t>Δ_g(x) = m_ŷ(N(x,g)) − m_ŷ(x).</w:t>
      </w:r>
    </w:p>
    <w:p>
      <w:pPr>
        <w:spacing w:after="0" w:before="0" w:line="240" w:lineRule="auto"/>
        <w:ind w:firstLine="397"/>
      </w:pPr>
      <w:r>
        <w:rPr>
          <w:rFonts w:ascii="Times New Roman" w:hAnsi="Times New Roman" w:eastAsia="Times New Roman"/>
          <w:b w:val="0"/>
          <w:i w:val="0"/>
          <w:sz w:val="20"/>
        </w:rPr>
        <w:t>Если Δ_g(x)&gt;0, удаление компонента увеличивает маржу текущего класса. Такой компонент рассматривается как локально противоречащее свидетельство в операциональном смысле. Если Δ_g(x)&lt;0, компонент поддерживает решение, поскольку его удаление уменьшает маржу. В локально-аддитивном приближении, когда m_ŷ(x)=b+Σ_g φ_g(x), нейтрализация компонента даёт Δ_g(x)=-φ_g(x). Поэтому знак Δ_g имеет строгую интерпретацию хотя бы в этом частном случае.</w:t>
      </w:r>
    </w:p>
    <w:p>
      <w:pPr>
        <w:spacing w:after="0" w:before="0" w:line="240" w:lineRule="auto"/>
        <w:ind w:firstLine="397"/>
      </w:pPr>
      <w:r>
        <w:rPr>
          <w:rFonts w:ascii="Times New Roman" w:hAnsi="Times New Roman" w:eastAsia="Times New Roman"/>
          <w:b w:val="0"/>
          <w:i w:val="0"/>
          <w:sz w:val="20"/>
        </w:rPr>
        <w:t>Хрупкость решения задаётся как приближение к задаче минимального разрушения поддержки:</w:t>
      </w:r>
    </w:p>
    <w:p>
      <w:pPr>
        <w:spacing w:before="60" w:after="60" w:line="240" w:lineRule="auto"/>
        <w:jc w:val="center"/>
      </w:pPr>
      <w:r>
        <w:rPr>
          <w:rFonts w:ascii="Times New Roman" w:hAnsi="Times New Roman" w:eastAsia="Times New Roman"/>
          <w:sz w:val="20"/>
        </w:rPr>
        <w:t>min_{S⊆B_Q^+} cost(S),   при условии   m_ŷ(N(x,S)) ≤ 0.</w:t>
      </w:r>
    </w:p>
    <w:p>
      <w:pPr>
        <w:spacing w:after="0" w:before="0" w:line="240" w:lineRule="auto"/>
        <w:ind w:firstLine="397"/>
      </w:pPr>
      <w:r>
        <w:rPr>
          <w:rFonts w:ascii="Times New Roman" w:hAnsi="Times New Roman" w:eastAsia="Times New Roman"/>
          <w:b w:val="0"/>
          <w:i w:val="0"/>
          <w:sz w:val="20"/>
        </w:rPr>
        <w:t>В аддитивном случае и при единичной стоимости компонентов жадный порядок по убыванию |Δ_g| является естественным решением этой задачи. В нелинейном случае он используется как бюджетная эвристика, согласованная с ограниченным числом запросов к модели.</w:t>
      </w:r>
    </w:p>
    <w:p>
      <w:pPr>
        <w:spacing w:after="0" w:before="0" w:line="240" w:lineRule="auto"/>
        <w:ind w:firstLine="397"/>
      </w:pPr>
      <w:r>
        <w:rPr>
          <w:rFonts w:ascii="Times New Roman" w:hAnsi="Times New Roman" w:eastAsia="Times New Roman"/>
          <w:b w:val="0"/>
          <w:i w:val="0"/>
          <w:sz w:val="20"/>
        </w:rPr>
        <w:t>В этой статье результат BEACON-core записывается как компактный вектор аудита:</w:t>
      </w:r>
    </w:p>
    <w:p>
      <w:pPr>
        <w:spacing w:before="60" w:after="60" w:line="240" w:lineRule="auto"/>
        <w:jc w:val="center"/>
      </w:pPr>
      <w:r>
        <w:rPr>
          <w:rFonts w:ascii="Times New Roman" w:hAnsi="Times New Roman" w:eastAsia="Times New Roman"/>
          <w:sz w:val="20"/>
        </w:rPr>
        <w:t>a(x) = (m_neg, M_B^−, r_B^−, CE_B, ρ_B^cost, frag_drop, top1_delta, top3_sum_delta, top3_conflict_count, margin_entropy).</w:t>
      </w:r>
    </w:p>
    <w:p>
      <w:pPr>
        <w:spacing w:after="0" w:before="0" w:line="240" w:lineRule="auto"/>
        <w:ind w:firstLine="397"/>
      </w:pPr>
      <w:r>
        <w:rPr>
          <w:rFonts w:ascii="Times New Roman" w:hAnsi="Times New Roman" w:eastAsia="Times New Roman"/>
          <w:b w:val="0"/>
          <w:i w:val="0"/>
          <w:sz w:val="20"/>
        </w:rPr>
        <w:t>Первые шесть величин описывают маржу, конфликтную массу, относительный конфликт и хрупкость. Ранговые признаки фиксируют концентрацию конфликтного эффекта в начале списка компонентов, а margin_entropy задаёт энтропию распределения вероятностей модели по классам и используется как показатель неопределённости решения. Любая политика аудита представляется как отображение:</w:t>
      </w:r>
    </w:p>
    <w:p>
      <w:pPr>
        <w:spacing w:before="60" w:after="60" w:line="240" w:lineRule="auto"/>
        <w:jc w:val="center"/>
      </w:pPr>
      <w:r>
        <w:rPr>
          <w:rFonts w:ascii="Times New Roman" w:hAnsi="Times New Roman" w:eastAsia="Times New Roman"/>
          <w:sz w:val="20"/>
        </w:rPr>
        <w:t>s(x) = h(a(x)),</w:t>
      </w:r>
    </w:p>
    <w:p>
      <w:pPr>
        <w:spacing w:after="0" w:before="0" w:line="240" w:lineRule="auto"/>
        <w:ind w:firstLine="397"/>
      </w:pPr>
      <w:r>
        <w:rPr>
          <w:rFonts w:ascii="Times New Roman" w:hAnsi="Times New Roman" w:eastAsia="Times New Roman"/>
          <w:b w:val="0"/>
          <w:i w:val="0"/>
          <w:sz w:val="20"/>
        </w:rPr>
      </w:r>
      <w:r>
        <w:rPr>
          <w:rFonts w:ascii="Times New Roman" w:hAnsi="Times New Roman" w:eastAsia="Times New Roman"/>
          <w:sz w:val="20"/>
        </w:rPr>
        <w:t>где s(x) является числовым риск-скором или вероятностью скрытого конфликта. В работе сравниваются скалярный порог, линейная logit-панель, TAN, нечёткая политика и soft-mix fixed v4. Fuzzy-gate и adaptive soft-mix рассматриваются как дополнительные инженерные проверки, но не как основные рекомендуемые политики.</w:t>
      </w:r>
    </w:p>
    <w:p>
      <w:pPr>
        <w:jc w:val="center"/>
      </w:pPr>
      <w:r>
        <w:rPr>
          <w:rFonts w:ascii="Times New Roman" w:hAnsi="Times New Roman"/>
          <w:sz w:val="20"/>
        </w:rPr>
        <w:drawing>
          <wp:inline xmlns:a="http://schemas.openxmlformats.org/drawingml/2006/main" xmlns:pic="http://schemas.openxmlformats.org/drawingml/2006/picture">
            <wp:extent cx="5580000" cy="3315677"/>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580000" cy="3315677"/>
                    </a:xfrm>
                    <a:prstGeom prst="rect"/>
                  </pic:spPr>
                </pic:pic>
              </a:graphicData>
            </a:graphic>
          </wp:inline>
        </w:drawing>
      </w:r>
    </w:p>
    <w:p>
      <w:pPr>
        <w:spacing w:after="0" w:before="0" w:line="240" w:lineRule="auto"/>
        <w:jc w:val="center"/>
      </w:pPr>
      <w:r>
        <w:rPr>
          <w:rFonts w:ascii="Times New Roman" w:hAnsi="Times New Roman" w:eastAsia="Times New Roman"/>
          <w:b w:val="0"/>
          <w:i w:val="0"/>
          <w:sz w:val="20"/>
        </w:rPr>
        <w:t>Рисунок 1. Концептуальная схема BEACON-XAI и диагностических политик над компактным состоянием аудита.</w:t>
      </w:r>
    </w:p>
    <w:p>
      <w:pPr>
        <w:spacing w:after="0" w:before="0" w:line="240" w:lineRule="auto"/>
        <w:ind w:firstLine="397"/>
      </w:pPr>
      <w:r>
        <w:rPr>
          <w:rFonts w:ascii="Times New Roman" w:hAnsi="Times New Roman" w:eastAsia="Times New Roman"/>
          <w:b w:val="0"/>
          <w:i w:val="0"/>
          <w:sz w:val="20"/>
        </w:rPr>
        <w:t>Вычислительная сложность BEACON-core определяется числом запросов Q:</w:t>
      </w:r>
    </w:p>
    <w:p>
      <w:pPr>
        <w:spacing w:before="60" w:after="60" w:line="240" w:lineRule="auto"/>
        <w:jc w:val="center"/>
      </w:pPr>
      <w:r>
        <w:rPr>
          <w:rFonts w:ascii="Times New Roman" w:hAnsi="Times New Roman" w:eastAsia="Times New Roman"/>
          <w:sz w:val="20"/>
        </w:rPr>
        <w:t>C_core = O(Q · (C_f + C_N)),</w:t>
      </w:r>
    </w:p>
    <w:p>
      <w:pPr>
        <w:spacing w:after="0" w:before="0" w:line="240" w:lineRule="auto"/>
        <w:ind w:firstLine="397"/>
      </w:pPr>
      <w:r>
        <w:rPr>
          <w:rFonts w:ascii="Times New Roman" w:hAnsi="Times New Roman" w:eastAsia="Times New Roman"/>
          <w:b w:val="0"/>
          <w:i w:val="0"/>
          <w:sz w:val="20"/>
        </w:rPr>
        <w:t>где C_f — стоимость одного прямого прохода модели, а C_N — стоимость нейтрализации компонента. Для adaptive-режима добавляется стоимость предфильтра C_pref, поэтому C_adaptive = O(C_pref + Q · (C_f + C_N)). Политика h(a(x)) выполняется уже после извлечения признаков и имеет существенно меньшую стоимость.</w:t>
      </w:r>
    </w:p>
    <w:p>
      <w:pPr>
        <w:spacing w:after="0" w:before="120" w:line="240" w:lineRule="auto"/>
      </w:pPr>
      <w:r>
        <w:rPr>
          <w:rFonts w:ascii="Times New Roman" w:hAnsi="Times New Roman" w:eastAsia="Times New Roman"/>
          <w:b/>
          <w:sz w:val="20"/>
        </w:rPr>
        <w:t>4. Диагностические политики над вектором аудита</w:t>
      </w:r>
    </w:p>
    <w:p>
      <w:pPr>
        <w:spacing w:after="0" w:before="0" w:line="240" w:lineRule="auto"/>
        <w:ind w:firstLine="397"/>
      </w:pPr>
      <w:r>
        <w:rPr>
          <w:rFonts w:ascii="Times New Roman" w:hAnsi="Times New Roman" w:eastAsia="Times New Roman"/>
          <w:b w:val="0"/>
          <w:i w:val="0"/>
          <w:sz w:val="20"/>
        </w:rPr>
        <w:t>Скалярная политика использует один признак, обычно отрицательную маржу или m_neg. Она проста, но не различает ситуацию слабой маржи, выраженного конфликта и хрупкой поддержки. Линейная панель использует несколько BEACON-признаков и обучает риск-скор на train-разбиении, а порог оповещения выбирается на validation.</w:t>
      </w:r>
    </w:p>
    <w:p>
      <w:pPr>
        <w:spacing w:after="0" w:before="0" w:line="240" w:lineRule="auto"/>
        <w:ind w:firstLine="397"/>
      </w:pPr>
      <w:r>
        <w:rPr>
          <w:rFonts w:ascii="Times New Roman" w:hAnsi="Times New Roman" w:eastAsia="Times New Roman"/>
          <w:b w:val="0"/>
          <w:i w:val="0"/>
          <w:sz w:val="20"/>
        </w:rPr>
        <w:t>TAN-детектор является вероятностной политикой для скрытых сенсорных конфликтов. Непрерывные признаки a(x) дискретизируются на обучающей части, после чего TAN оценивает вероятность класса «скрытый конфликт». В сетке проверяются наборы признаков conflict_min, conflict_ce, full_compact и rank_plus, числа бинов 3, 4, 5, 6 и сглаживание alpha=0,1; 0,5; 1,0; 2,0.</w:t>
      </w:r>
    </w:p>
    <w:p>
      <w:pPr>
        <w:spacing w:after="0" w:before="0" w:line="240" w:lineRule="auto"/>
        <w:ind w:firstLine="397"/>
      </w:pPr>
      <w:r>
        <w:rPr>
          <w:rFonts w:ascii="Times New Roman" w:hAnsi="Times New Roman" w:eastAsia="Times New Roman"/>
          <w:b w:val="0"/>
          <w:i w:val="0"/>
          <w:sz w:val="20"/>
        </w:rPr>
        <w:t>Нечёткая политика задаёт читаемые правила над агрегированными входами, отражающими конфликт, хрупкость, слабость маржи и неопределённость решения. В конфигурации fuzzy-only v4 в BEACON-вектор включён дополнительный признак margin_entropy — энтропия распределения вероятностей модели по классам; он используется как четвёртый агрегированный вход нечёткой политики. Использовались kmeans_3bin, weighted Sugeno inference и набор из 27 правил; параметры фиксировались на train/validation до обращения к test-разбиению.</w:t>
      </w:r>
      <w:r>
        <w:rPr>
          <w:rFonts w:ascii="Times New Roman" w:hAnsi="Times New Roman" w:eastAsia="Times New Roman"/>
          <w:sz w:val="20"/>
        </w:rPr>
      </w:r>
    </w:p>
    <w:p>
      <w:pPr>
        <w:spacing w:after="0" w:before="0" w:line="240" w:lineRule="auto"/>
        <w:ind w:firstLine="397"/>
      </w:pPr>
      <w:r>
        <w:rPr>
          <w:rFonts w:ascii="Times New Roman" w:hAnsi="Times New Roman" w:eastAsia="Times New Roman"/>
          <w:b w:val="0"/>
          <w:i w:val="0"/>
          <w:sz w:val="20"/>
        </w:rPr>
      </w:r>
      <w:r>
        <w:rPr>
          <w:rFonts w:ascii="Times New Roman" w:hAnsi="Times New Roman" w:eastAsia="Times New Roman"/>
          <w:sz w:val="20"/>
        </w:rPr>
        <w:t>Soft-mix fixed v4 проверяет мягкое смешивание logit-panel и fuzzy-only v4 с фиксированным весом, выбранным на validation. Отдельно проверялся adaptive soft-mix v4, в котором вес смешивания задавался обучаемой моделью. Этот вариант оказался хуже фиксированного смешивания и поэтому рассматривается как отрицательный результат, а не как рекомендуемая политика.</w:t>
      </w:r>
    </w:p>
    <w:p>
      <w:pPr>
        <w:spacing w:after="0" w:before="0" w:line="240" w:lineRule="auto"/>
      </w:pPr>
      <w:r>
        <w:rPr>
          <w:rFonts w:ascii="Times New Roman" w:hAnsi="Times New Roman" w:eastAsia="Times New Roman"/>
          <w:b/>
          <w:i w:val="0"/>
          <w:sz w:val="20"/>
        </w:rPr>
        <w:t>Таблица 1. Политики h(a(x)), сравниваемые во второй части исследования.</w:t>
      </w:r>
    </w:p>
    <w:tbl>
      <w:tblPr>
        <w:tblW w:type="auto" w:w="0"/>
        <w:tblLayout w:type="autofit"/>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409"/>
        <w:gridCol w:w="2409"/>
        <w:gridCol w:w="2409"/>
        <w:gridCol w:w="2409"/>
      </w:tblGrid>
      <w:tr>
        <w:tc>
          <w:tcPr>
            <w:tcW w:type="dxa" w:w="2409"/>
            <w:vAlign w:val="center"/>
            <w:shd w:fill="D9EAF7"/>
          </w:tcPr>
          <w:p>
            <w:pPr>
              <w:jc w:val="center"/>
            </w:pPr>
            <w:r>
              <w:rPr>
                <w:rFonts w:ascii="Times New Roman" w:hAnsi="Times New Roman" w:eastAsia="Times New Roman"/>
                <w:sz w:val="20"/>
              </w:rPr>
            </w:r>
            <w:r>
              <w:rPr>
                <w:rFonts w:ascii="Times New Roman" w:hAnsi="Times New Roman" w:eastAsia="Times New Roman"/>
                <w:b/>
                <w:sz w:val="20"/>
              </w:rPr>
              <w:t>Политика</w:t>
            </w:r>
          </w:p>
        </w:tc>
        <w:tc>
          <w:tcPr>
            <w:tcW w:type="dxa" w:w="2409"/>
            <w:vAlign w:val="center"/>
            <w:shd w:fill="D9EAF7"/>
          </w:tcPr>
          <w:p>
            <w:pPr>
              <w:jc w:val="center"/>
            </w:pPr>
            <w:r>
              <w:rPr>
                <w:rFonts w:ascii="Times New Roman" w:hAnsi="Times New Roman" w:eastAsia="Times New Roman"/>
                <w:sz w:val="20"/>
              </w:rPr>
            </w:r>
            <w:r>
              <w:rPr>
                <w:rFonts w:ascii="Times New Roman" w:hAnsi="Times New Roman" w:eastAsia="Times New Roman"/>
                <w:b/>
                <w:sz w:val="20"/>
              </w:rPr>
              <w:t>Вход</w:t>
            </w:r>
          </w:p>
        </w:tc>
        <w:tc>
          <w:tcPr>
            <w:tcW w:type="dxa" w:w="2409"/>
            <w:vAlign w:val="center"/>
            <w:shd w:fill="D9EAF7"/>
          </w:tcPr>
          <w:p>
            <w:pPr>
              <w:jc w:val="center"/>
            </w:pPr>
            <w:r>
              <w:rPr>
                <w:rFonts w:ascii="Times New Roman" w:hAnsi="Times New Roman" w:eastAsia="Times New Roman"/>
                <w:sz w:val="20"/>
              </w:rPr>
            </w:r>
            <w:r>
              <w:rPr>
                <w:rFonts w:ascii="Times New Roman" w:hAnsi="Times New Roman" w:eastAsia="Times New Roman"/>
                <w:b/>
                <w:sz w:val="20"/>
              </w:rPr>
              <w:t>Калибровка</w:t>
            </w:r>
          </w:p>
        </w:tc>
        <w:tc>
          <w:tcPr>
            <w:tcW w:type="dxa" w:w="2409"/>
            <w:vAlign w:val="center"/>
            <w:shd w:fill="D9EAF7"/>
          </w:tcPr>
          <w:p>
            <w:pPr>
              <w:jc w:val="center"/>
            </w:pPr>
            <w:r>
              <w:rPr>
                <w:rFonts w:ascii="Times New Roman" w:hAnsi="Times New Roman" w:eastAsia="Times New Roman"/>
                <w:sz w:val="20"/>
              </w:rPr>
            </w:r>
            <w:r>
              <w:rPr>
                <w:rFonts w:ascii="Times New Roman" w:hAnsi="Times New Roman" w:eastAsia="Times New Roman"/>
                <w:b/>
                <w:sz w:val="20"/>
              </w:rPr>
              <w:t>Основная роль</w:t>
            </w:r>
          </w:p>
        </w:tc>
      </w:tr>
      <w:tr>
        <w:tc>
          <w:tcPr>
            <w:tcW w:type="dxa" w:w="2409"/>
            <w:vAlign w:val="center"/>
          </w:tcPr>
          <w:p>
            <w:pPr>
              <w:jc w:val="center"/>
            </w:pPr>
            <w:r>
              <w:rPr>
                <w:rFonts w:ascii="Times New Roman" w:hAnsi="Times New Roman" w:eastAsia="Times New Roman"/>
                <w:sz w:val="20"/>
              </w:rPr>
            </w:r>
            <w:r>
              <w:rPr>
                <w:rFonts w:ascii="Times New Roman" w:hAnsi="Times New Roman" w:eastAsia="Times New Roman"/>
                <w:b w:val="0"/>
                <w:sz w:val="20"/>
              </w:rPr>
              <w:t>scalar</w:t>
            </w:r>
          </w:p>
        </w:tc>
        <w:tc>
          <w:tcPr>
            <w:tcW w:type="dxa" w:w="2409"/>
            <w:vAlign w:val="center"/>
          </w:tcPr>
          <w:p>
            <w:pPr>
              <w:jc w:val="center"/>
            </w:pPr>
            <w:r>
              <w:rPr>
                <w:rFonts w:ascii="Times New Roman" w:hAnsi="Times New Roman" w:eastAsia="Times New Roman"/>
                <w:sz w:val="20"/>
              </w:rPr>
            </w:r>
            <w:r>
              <w:rPr>
                <w:rFonts w:ascii="Times New Roman" w:hAnsi="Times New Roman" w:eastAsia="Times New Roman"/>
                <w:b w:val="0"/>
                <w:sz w:val="20"/>
              </w:rPr>
              <w:t>1 признак</w:t>
            </w:r>
          </w:p>
        </w:tc>
        <w:tc>
          <w:tcPr>
            <w:tcW w:type="dxa" w:w="2409"/>
            <w:vAlign w:val="center"/>
          </w:tcPr>
          <w:p>
            <w:pPr>
              <w:jc w:val="center"/>
            </w:pPr>
            <w:r>
              <w:rPr>
                <w:rFonts w:ascii="Times New Roman" w:hAnsi="Times New Roman" w:eastAsia="Times New Roman"/>
                <w:sz w:val="20"/>
              </w:rPr>
            </w:r>
            <w:r>
              <w:rPr>
                <w:rFonts w:ascii="Times New Roman" w:hAnsi="Times New Roman" w:eastAsia="Times New Roman"/>
                <w:b w:val="0"/>
                <w:sz w:val="20"/>
              </w:rPr>
              <w:t>порог на validation</w:t>
            </w:r>
          </w:p>
        </w:tc>
        <w:tc>
          <w:tcPr>
            <w:tcW w:type="dxa" w:w="2409"/>
            <w:vAlign w:val="center"/>
          </w:tcPr>
          <w:p>
            <w:pPr>
              <w:jc w:val="center"/>
            </w:pPr>
            <w:r>
              <w:rPr>
                <w:rFonts w:ascii="Times New Roman" w:hAnsi="Times New Roman" w:eastAsia="Times New Roman"/>
                <w:sz w:val="20"/>
              </w:rPr>
            </w:r>
            <w:r>
              <w:rPr>
                <w:rFonts w:ascii="Times New Roman" w:hAnsi="Times New Roman" w:eastAsia="Times New Roman"/>
                <w:b w:val="0"/>
                <w:sz w:val="20"/>
              </w:rPr>
              <w:t>минимальная базовая линия</w:t>
            </w:r>
          </w:p>
        </w:tc>
      </w:tr>
      <w:tr>
        <w:tc>
          <w:tcPr>
            <w:tcW w:type="dxa" w:w="2409"/>
            <w:vAlign w:val="center"/>
          </w:tcPr>
          <w:p>
            <w:pPr>
              <w:jc w:val="center"/>
            </w:pPr>
            <w:r>
              <w:rPr>
                <w:rFonts w:ascii="Times New Roman" w:hAnsi="Times New Roman" w:eastAsia="Times New Roman"/>
                <w:sz w:val="20"/>
              </w:rPr>
            </w:r>
            <w:r>
              <w:rPr>
                <w:rFonts w:ascii="Times New Roman" w:hAnsi="Times New Roman" w:eastAsia="Times New Roman"/>
                <w:b w:val="0"/>
                <w:sz w:val="20"/>
              </w:rPr>
              <w:t>logit_panel</w:t>
            </w:r>
          </w:p>
        </w:tc>
        <w:tc>
          <w:tcPr>
            <w:tcW w:type="dxa" w:w="2409"/>
            <w:vAlign w:val="center"/>
          </w:tcPr>
          <w:p>
            <w:pPr>
              <w:jc w:val="center"/>
            </w:pPr>
            <w:r>
              <w:rPr>
                <w:rFonts w:ascii="Times New Roman" w:hAnsi="Times New Roman" w:eastAsia="Times New Roman"/>
                <w:sz w:val="20"/>
              </w:rPr>
            </w:r>
            <w:r>
              <w:rPr>
                <w:rFonts w:ascii="Times New Roman" w:hAnsi="Times New Roman" w:eastAsia="Times New Roman"/>
                <w:b w:val="0"/>
                <w:sz w:val="20"/>
              </w:rPr>
              <w:t>BEACON-вектор</w:t>
            </w:r>
          </w:p>
        </w:tc>
        <w:tc>
          <w:tcPr>
            <w:tcW w:type="dxa" w:w="2409"/>
            <w:vAlign w:val="center"/>
          </w:tcPr>
          <w:p>
            <w:pPr>
              <w:jc w:val="center"/>
            </w:pPr>
            <w:r>
              <w:rPr>
                <w:rFonts w:ascii="Times New Roman" w:hAnsi="Times New Roman" w:eastAsia="Times New Roman"/>
                <w:sz w:val="20"/>
              </w:rPr>
            </w:r>
            <w:r>
              <w:rPr>
                <w:rFonts w:ascii="Times New Roman" w:hAnsi="Times New Roman" w:eastAsia="Times New Roman"/>
                <w:b w:val="0"/>
                <w:sz w:val="20"/>
              </w:rPr>
              <w:t>веса train, порог validation</w:t>
            </w:r>
          </w:p>
        </w:tc>
        <w:tc>
          <w:tcPr>
            <w:tcW w:type="dxa" w:w="2409"/>
            <w:vAlign w:val="center"/>
          </w:tcPr>
          <w:p>
            <w:pPr>
              <w:jc w:val="center"/>
            </w:pPr>
            <w:r>
              <w:rPr>
                <w:rFonts w:ascii="Times New Roman" w:hAnsi="Times New Roman" w:eastAsia="Times New Roman"/>
                <w:sz w:val="20"/>
              </w:rPr>
            </w:r>
            <w:r>
              <w:rPr>
                <w:rFonts w:ascii="Times New Roman" w:hAnsi="Times New Roman" w:eastAsia="Times New Roman"/>
                <w:b w:val="0"/>
                <w:sz w:val="20"/>
              </w:rPr>
              <w:t>лучший практический скоринг риска</w:t>
            </w:r>
          </w:p>
        </w:tc>
      </w:tr>
      <w:tr>
        <w:tc>
          <w:tcPr>
            <w:tcW w:type="dxa" w:w="2409"/>
            <w:vAlign w:val="center"/>
          </w:tcPr>
          <w:p>
            <w:pPr>
              <w:jc w:val="center"/>
            </w:pPr>
            <w:r>
              <w:rPr>
                <w:rFonts w:ascii="Times New Roman" w:hAnsi="Times New Roman" w:eastAsia="Times New Roman"/>
                <w:sz w:val="20"/>
              </w:rPr>
            </w:r>
            <w:r>
              <w:rPr>
                <w:rFonts w:ascii="Times New Roman" w:hAnsi="Times New Roman" w:eastAsia="Times New Roman"/>
                <w:b w:val="0"/>
                <w:sz w:val="20"/>
              </w:rPr>
              <w:t>TAN</w:t>
            </w:r>
          </w:p>
        </w:tc>
        <w:tc>
          <w:tcPr>
            <w:tcW w:type="dxa" w:w="2409"/>
            <w:vAlign w:val="center"/>
          </w:tcPr>
          <w:p>
            <w:pPr>
              <w:jc w:val="center"/>
            </w:pPr>
            <w:r>
              <w:rPr>
                <w:rFonts w:ascii="Times New Roman" w:hAnsi="Times New Roman" w:eastAsia="Times New Roman"/>
                <w:sz w:val="20"/>
              </w:rPr>
            </w:r>
            <w:r>
              <w:rPr>
                <w:rFonts w:ascii="Times New Roman" w:hAnsi="Times New Roman" w:eastAsia="Times New Roman"/>
                <w:b w:val="0"/>
                <w:sz w:val="20"/>
              </w:rPr>
              <w:t>дискретизированный вектор</w:t>
            </w:r>
          </w:p>
        </w:tc>
        <w:tc>
          <w:tcPr>
            <w:tcW w:type="dxa" w:w="2409"/>
            <w:vAlign w:val="center"/>
          </w:tcPr>
          <w:p>
            <w:pPr>
              <w:jc w:val="center"/>
            </w:pPr>
            <w:r>
              <w:rPr>
                <w:rFonts w:ascii="Times New Roman" w:hAnsi="Times New Roman" w:eastAsia="Times New Roman"/>
                <w:sz w:val="20"/>
              </w:rPr>
            </w:r>
            <w:r>
              <w:rPr>
                <w:rFonts w:ascii="Times New Roman" w:hAnsi="Times New Roman" w:eastAsia="Times New Roman"/>
                <w:b w:val="0"/>
                <w:sz w:val="20"/>
              </w:rPr>
              <w:t>feature set, bins, alpha, порог validation</w:t>
            </w:r>
          </w:p>
        </w:tc>
        <w:tc>
          <w:tcPr>
            <w:tcW w:type="dxa" w:w="2409"/>
            <w:vAlign w:val="center"/>
          </w:tcPr>
          <w:p>
            <w:pPr>
              <w:jc w:val="center"/>
            </w:pPr>
            <w:r>
              <w:rPr>
                <w:rFonts w:ascii="Times New Roman" w:hAnsi="Times New Roman" w:eastAsia="Times New Roman"/>
                <w:sz w:val="20"/>
              </w:rPr>
            </w:r>
            <w:r>
              <w:rPr>
                <w:rFonts w:ascii="Times New Roman" w:hAnsi="Times New Roman" w:eastAsia="Times New Roman"/>
                <w:b w:val="0"/>
                <w:sz w:val="20"/>
              </w:rPr>
              <w:t>вероятностная проверка скрытого конфликта</w:t>
            </w:r>
          </w:p>
        </w:tc>
      </w:tr>
      <w:tr>
        <w:tc>
          <w:tcPr>
            <w:tcW w:type="dxa" w:w="2409"/>
            <w:vAlign w:val="center"/>
          </w:tcPr>
          <w:p>
            <w:pPr>
              <w:jc w:val="center"/>
            </w:pPr>
            <w:r>
              <w:rPr>
                <w:rFonts w:ascii="Times New Roman" w:hAnsi="Times New Roman" w:eastAsia="Times New Roman"/>
                <w:sz w:val="20"/>
              </w:rPr>
            </w:r>
            <w:r>
              <w:rPr>
                <w:rFonts w:ascii="Times New Roman" w:hAnsi="Times New Roman" w:eastAsia="Times New Roman"/>
                <w:b w:val="0"/>
                <w:sz w:val="20"/>
              </w:rPr>
              <w:t>fuzzy_only v4</w:t>
            </w:r>
          </w:p>
        </w:tc>
        <w:tc>
          <w:tcPr>
            <w:tcW w:type="dxa" w:w="2409"/>
            <w:vAlign w:val="center"/>
          </w:tcPr>
          <w:p>
            <w:pPr>
              <w:jc w:val="center"/>
            </w:pPr>
            <w:r>
              <w:rPr>
                <w:rFonts w:ascii="Times New Roman" w:hAnsi="Times New Roman"/>
                <w:sz w:val="20"/>
              </w:rPr>
              <w:t>агрегированные BEACON-входы: конфликт, хрупкость, слабость маржи, энтропия</w:t>
            </w:r>
          </w:p>
        </w:tc>
        <w:tc>
          <w:tcPr>
            <w:tcW w:type="dxa" w:w="2409"/>
            <w:vAlign w:val="center"/>
          </w:tcPr>
          <w:p>
            <w:pPr>
              <w:jc w:val="center"/>
            </w:pPr>
            <w:r>
              <w:rPr>
                <w:rFonts w:ascii="Times New Roman" w:hAnsi="Times New Roman" w:eastAsia="Times New Roman"/>
                <w:sz w:val="20"/>
              </w:rPr>
            </w:r>
            <w:r>
              <w:rPr>
                <w:rFonts w:ascii="Times New Roman" w:hAnsi="Times New Roman" w:eastAsia="Times New Roman"/>
                <w:b w:val="0"/>
                <w:sz w:val="20"/>
              </w:rPr>
              <w:t>термы и правила train/validation</w:t>
            </w:r>
          </w:p>
        </w:tc>
        <w:tc>
          <w:tcPr>
            <w:tcW w:type="dxa" w:w="2409"/>
            <w:vAlign w:val="center"/>
          </w:tcPr>
          <w:p>
            <w:pPr>
              <w:jc w:val="center"/>
            </w:pPr>
            <w:r>
              <w:rPr>
                <w:rFonts w:ascii="Times New Roman" w:hAnsi="Times New Roman" w:eastAsia="Times New Roman"/>
                <w:sz w:val="20"/>
              </w:rPr>
            </w:r>
            <w:r>
              <w:rPr>
                <w:rFonts w:ascii="Times New Roman" w:hAnsi="Times New Roman" w:eastAsia="Times New Roman"/>
                <w:b w:val="0"/>
                <w:sz w:val="20"/>
              </w:rPr>
              <w:t>читаемая экспертная политика</w:t>
            </w:r>
          </w:p>
        </w:tc>
      </w:tr>
      <w:tr>
        <w:tc>
          <w:tcPr>
            <w:tcW w:type="dxa" w:w="2409"/>
            <w:vAlign w:val="center"/>
          </w:tcPr>
          <w:p>
            <w:pPr>
              <w:jc w:val="center"/>
            </w:pPr>
            <w:r>
              <w:rPr>
                <w:rFonts w:ascii="Times New Roman" w:hAnsi="Times New Roman" w:eastAsia="Times New Roman"/>
                <w:sz w:val="20"/>
              </w:rPr>
            </w:r>
            <w:r>
              <w:rPr>
                <w:rFonts w:ascii="Times New Roman" w:hAnsi="Times New Roman" w:eastAsia="Times New Roman"/>
                <w:b w:val="0"/>
                <w:sz w:val="20"/>
              </w:rPr>
              <w:t>soft_mix fixed v4</w:t>
            </w:r>
          </w:p>
        </w:tc>
        <w:tc>
          <w:tcPr>
            <w:tcW w:type="dxa" w:w="2409"/>
            <w:vAlign w:val="center"/>
          </w:tcPr>
          <w:p>
            <w:pPr>
              <w:jc w:val="center"/>
            </w:pPr>
            <w:r>
              <w:rPr>
                <w:rFonts w:ascii="Times New Roman" w:hAnsi="Times New Roman" w:eastAsia="Times New Roman"/>
                <w:sz w:val="20"/>
              </w:rPr>
            </w:r>
            <w:r>
              <w:rPr>
                <w:rFonts w:ascii="Times New Roman" w:hAnsi="Times New Roman" w:eastAsia="Times New Roman"/>
                <w:b w:val="0"/>
                <w:sz w:val="20"/>
              </w:rPr>
              <w:t>logit + fuzzy</w:t>
            </w:r>
          </w:p>
        </w:tc>
        <w:tc>
          <w:tcPr>
            <w:tcW w:type="dxa" w:w="2409"/>
            <w:vAlign w:val="center"/>
          </w:tcPr>
          <w:p>
            <w:pPr>
              <w:jc w:val="center"/>
            </w:pPr>
            <w:r>
              <w:rPr>
                <w:rFonts w:ascii="Times New Roman" w:hAnsi="Times New Roman" w:eastAsia="Times New Roman"/>
                <w:sz w:val="20"/>
              </w:rPr>
            </w:r>
            <w:r>
              <w:rPr>
                <w:rFonts w:ascii="Times New Roman" w:hAnsi="Times New Roman" w:eastAsia="Times New Roman"/>
                <w:b w:val="0"/>
                <w:sz w:val="20"/>
              </w:rPr>
              <w:t>фиксированный вес на validation</w:t>
            </w:r>
          </w:p>
        </w:tc>
        <w:tc>
          <w:tcPr>
            <w:tcW w:type="dxa" w:w="2409"/>
            <w:vAlign w:val="center"/>
          </w:tcPr>
          <w:p>
            <w:pPr>
              <w:jc w:val="center"/>
            </w:pPr>
            <w:r>
              <w:rPr>
                <w:rFonts w:ascii="Times New Roman" w:hAnsi="Times New Roman" w:eastAsia="Times New Roman"/>
                <w:sz w:val="20"/>
              </w:rPr>
            </w:r>
            <w:r>
              <w:rPr>
                <w:rFonts w:ascii="Times New Roman" w:hAnsi="Times New Roman" w:eastAsia="Times New Roman"/>
                <w:b w:val="0"/>
                <w:sz w:val="20"/>
              </w:rPr>
              <w:t>компромисс качества и интерпретируемости</w:t>
            </w:r>
          </w:p>
        </w:tc>
      </w:tr>
    </w:tbl>
    <w:p>
      <w:pPr>
        <w:spacing w:after="0" w:before="0" w:line="240" w:lineRule="auto"/>
      </w:pPr>
      <w:r>
        <w:rPr>
          <w:rFonts w:ascii="Times New Roman" w:hAnsi="Times New Roman" w:eastAsia="Times New Roman"/>
          <w:b w:val="0"/>
          <w:i w:val="0"/>
          <w:sz w:val="20"/>
        </w:rPr>
      </w:r>
    </w:p>
    <w:p>
      <w:pPr>
        <w:spacing w:after="0" w:before="120" w:line="240" w:lineRule="auto"/>
      </w:pPr>
      <w:r>
        <w:rPr>
          <w:rFonts w:ascii="Times New Roman" w:hAnsi="Times New Roman" w:eastAsia="Times New Roman"/>
          <w:b/>
          <w:sz w:val="20"/>
        </w:rPr>
        <w:t>5. Экспериментальный протокол</w:t>
      </w:r>
    </w:p>
    <w:p>
      <w:pPr>
        <w:spacing w:after="0" w:before="0" w:line="240" w:lineRule="auto"/>
        <w:ind w:firstLine="397"/>
      </w:pPr>
      <w:r>
        <w:rPr>
          <w:rFonts w:ascii="Times New Roman" w:hAnsi="Times New Roman" w:eastAsia="Times New Roman"/>
          <w:b w:val="0"/>
          <w:i w:val="0"/>
          <w:sz w:val="20"/>
        </w:rPr>
        <w:t>Экспериментальный протокол строится на UCI HAR. После подготовки shifted NPZ набор содержит 7352 обучающих и 2947 тестовых окон. Для проверки политик формируется сбалансированный detection-набор normal/conflict из 5000 объектов. Конфликтные окна создаются так, чтобы изменение оставалось неочевидным для простой дисперсионной эвристики, но влияло на маржу модели.</w:t>
      </w:r>
    </w:p>
    <w:p>
      <w:pPr>
        <w:spacing w:after="0" w:before="0" w:line="240" w:lineRule="auto"/>
        <w:ind w:firstLine="397"/>
      </w:pPr>
      <w:r>
        <w:rPr>
          <w:rFonts w:ascii="Times New Roman" w:hAnsi="Times New Roman" w:eastAsia="Times New Roman"/>
          <w:b w:val="0"/>
          <w:i w:val="0"/>
          <w:sz w:val="20"/>
        </w:rPr>
        <w:t>Основной запуск использует классификатор ExtraTrees, бюджет Q=16 и seed=42. Все объекты делятся на train, validation и test. На train вычисляются параметры дискретизации, начальные оценки политик и функции принадлежности. На validation подбираются число бинов TAN, сглаживание, feature set, fuzzy-правила, веса и пороги. Test используется только для финальной оценки.</w:t>
      </w:r>
    </w:p>
    <w:p>
      <w:pPr>
        <w:spacing w:after="0" w:before="0" w:line="240" w:lineRule="auto"/>
        <w:ind w:firstLine="397"/>
      </w:pPr>
      <w:r>
        <w:rPr>
          <w:rFonts w:ascii="Times New Roman" w:hAnsi="Times New Roman" w:eastAsia="Times New Roman"/>
          <w:b w:val="0"/>
          <w:i w:val="0"/>
          <w:sz w:val="20"/>
        </w:rPr>
        <w:t>Для TAN извлекаются два набора признаков: BEACON-core features и uniform occlusion features. Второй набор нужен для честного baseline. Если TAN на BEACON-признаках превосходит TAN на uniform-признаках, улучшение можно связать с содержательностью BEACON-вектора, а не только с вероятностным классификатором. Для оценки разностей используется парный бутстрэп.</w:t>
      </w:r>
    </w:p>
    <w:p>
      <w:pPr>
        <w:spacing w:after="0" w:before="0" w:line="240" w:lineRule="auto"/>
        <w:ind w:firstLine="397"/>
      </w:pPr>
      <w:r>
        <w:rPr>
          <w:rFonts w:ascii="Times New Roman" w:hAnsi="Times New Roman" w:eastAsia="Times New Roman"/>
          <w:b w:val="0"/>
          <w:i w:val="0"/>
          <w:sz w:val="20"/>
        </w:rPr>
      </w:r>
      <w:r>
        <w:rPr>
          <w:rFonts w:ascii="Times New Roman" w:hAnsi="Times New Roman" w:eastAsia="Times New Roman"/>
          <w:sz w:val="20"/>
        </w:rPr>
        <w:t>Основные файлы воспроизводимости включают audit_features_beacon_core.csv, audit_features_uniform.csv, tan_sweep_results.csv, tan_final_test.csv, fuzzy_policy_results.csv, fuzzy_final_test.csv, policy_comparison.csv, bootstrap_deltas.csv и split_manifest.json. Для финальной v4-проверки дополнительно сохраняются manuscript_table_fuzzy_v4.csv, manuscript_table_fuzzy_v4_bootstrap.csv, manuscript_table_tiny_simulation.csv и manuscript_claim_registry.csv. Наличие split_manifest.json фиксирует разбиение и исключает неявный подбор параметров по test.</w:t>
      </w:r>
    </w:p>
    <w:p>
      <w:pPr>
        <w:spacing w:after="0" w:before="120" w:line="240" w:lineRule="auto"/>
      </w:pPr>
      <w:r>
        <w:rPr>
          <w:rFonts w:ascii="Times New Roman" w:hAnsi="Times New Roman" w:eastAsia="Times New Roman"/>
          <w:b/>
          <w:sz w:val="20"/>
        </w:rPr>
        <w:t>6. Результаты</w:t>
      </w:r>
    </w:p>
    <w:p>
      <w:pPr>
        <w:spacing w:after="0" w:before="0" w:line="240" w:lineRule="auto"/>
        <w:ind w:firstLine="397"/>
      </w:pPr>
      <w:r>
        <w:rPr>
          <w:rFonts w:ascii="Times New Roman" w:hAnsi="Times New Roman" w:eastAsia="Times New Roman"/>
          <w:b w:val="0"/>
          <w:i w:val="0"/>
          <w:sz w:val="20"/>
        </w:rPr>
      </w:r>
      <w:r>
        <w:rPr>
          <w:rFonts w:ascii="Times New Roman" w:hAnsi="Times New Roman" w:eastAsia="Times New Roman"/>
          <w:sz w:val="20"/>
        </w:rPr>
        <w:t>Основной результат extended-прогона состоит в сравнении политик h(a(x)) на одном и том же test-разбиении. Линейная панель оказалась лучшей практической политикой. При 10% бюджете оповещений она достигает F1=0,231, Precision=0,556 и AUPRC=0,466 против F1=0,123 и AUPRC=0,348 у скалярного порога. При 20% бюджете сохраняется тот же порядок: F1=0,348 у logit-panel против 0,234 у scalar.</w:t>
      </w:r>
    </w:p>
    <w:p>
      <w:pPr>
        <w:spacing w:after="0" w:before="0" w:line="240" w:lineRule="auto"/>
        <w:ind w:firstLine="397"/>
      </w:pPr>
      <w:r>
        <w:rPr>
          <w:rFonts w:ascii="Times New Roman" w:hAnsi="Times New Roman" w:eastAsia="Times New Roman"/>
          <w:b w:val="0"/>
          <w:i w:val="0"/>
          <w:sz w:val="20"/>
        </w:rPr>
      </w:r>
      <w:r>
        <w:rPr>
          <w:rFonts w:ascii="Times New Roman" w:hAnsi="Times New Roman" w:eastAsia="Times New Roman"/>
          <w:sz w:val="20"/>
        </w:rPr>
        <w:t>Нечёткая политика fuzzy-only v4 улучшает скалярный baseline при обоих бюджетах. При 10% бюджете F1 возрастает с 0,123 до 0,179, а AUPRC — с 0,348 до 0,415. При 20% бюджете F1 повышается с 0,234 до 0,276. Однако fuzzy-only v4 уступает logit-panel, поэтому его следует рассматривать как интерпретируемую альтернативу простому порогу, а не как замену обучаемой панели. Фиксированное смешивание soft-mix fixed v4 оказалось близким к logit-panel: F1@10=0,221 против 0,231, а F1@20=0,344 против 0,348.</w:t>
      </w:r>
    </w:p>
    <w:p>
      <w:pPr>
        <w:spacing w:after="0" w:before="0" w:line="240" w:lineRule="auto"/>
      </w:pPr>
      <w:r>
        <w:rPr>
          <w:rFonts w:ascii="Times New Roman" w:hAnsi="Times New Roman" w:eastAsia="Times New Roman"/>
          <w:b/>
          <w:i w:val="0"/>
          <w:sz w:val="20"/>
        </w:rPr>
        <w:t>Таблица 2. Сравнение диагностических политик на test-разбиении.</w:t>
      </w:r>
    </w:p>
    <w:tbl>
      <w:tblPr>
        <w:tblW w:type="auto" w:w="0"/>
        <w:tblLayout w:type="autofit"/>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606"/>
        <w:gridCol w:w="1606"/>
        <w:gridCol w:w="1606"/>
        <w:gridCol w:w="1606"/>
        <w:gridCol w:w="1606"/>
        <w:gridCol w:w="1606"/>
        <w:gridCol w:w="792"/>
        <w:gridCol w:w="792"/>
      </w:tblGrid>
      <w:tr>
        <w:tc>
          <w:tcPr>
            <w:tcW w:type="dxa" w:w="1606"/>
            <w:vAlign w:val="center"/>
            <w:shd w:fill="D9EAF7"/>
          </w:tcPr>
          <w:p>
            <w:pPr>
              <w:jc w:val="center"/>
            </w:pPr>
            <w:r>
              <w:rPr>
                <w:rFonts w:ascii="Times New Roman" w:hAnsi="Times New Roman" w:eastAsia="Times New Roman"/>
                <w:sz w:val="20"/>
              </w:rPr>
            </w:r>
            <w:r>
              <w:rPr>
                <w:rFonts w:ascii="Times New Roman" w:hAnsi="Times New Roman" w:eastAsia="Times New Roman"/>
                <w:b/>
                <w:sz w:val="20"/>
              </w:rPr>
              <w:t>Политика</w:t>
            </w:r>
          </w:p>
        </w:tc>
        <w:tc>
          <w:tcPr>
            <w:tcW w:type="dxa" w:w="1606"/>
            <w:vAlign w:val="center"/>
            <w:shd w:fill="D9EAF7"/>
          </w:tcPr>
          <w:p>
            <w:pPr>
              <w:jc w:val="center"/>
            </w:pPr>
            <w:r>
              <w:rPr>
                <w:rFonts w:ascii="Times New Roman" w:hAnsi="Times New Roman" w:eastAsia="Times New Roman"/>
                <w:sz w:val="20"/>
              </w:rPr>
            </w:r>
            <w:r>
              <w:rPr>
                <w:rFonts w:ascii="Times New Roman" w:hAnsi="Times New Roman" w:eastAsia="Times New Roman"/>
                <w:b/>
                <w:sz w:val="20"/>
              </w:rPr>
              <w:t>Бюджет</w:t>
            </w:r>
          </w:p>
        </w:tc>
        <w:tc>
          <w:tcPr>
            <w:tcW w:type="dxa" w:w="1606"/>
            <w:vAlign w:val="center"/>
            <w:shd w:fill="D9EAF7"/>
          </w:tcPr>
          <w:p>
            <w:pPr>
              <w:jc w:val="center"/>
            </w:pPr>
            <w:r>
              <w:rPr>
                <w:rFonts w:ascii="Times New Roman" w:hAnsi="Times New Roman" w:eastAsia="Times New Roman"/>
                <w:sz w:val="20"/>
              </w:rPr>
            </w:r>
            <w:r>
              <w:rPr>
                <w:rFonts w:ascii="Times New Roman" w:hAnsi="Times New Roman" w:eastAsia="Times New Roman"/>
                <w:b/>
                <w:sz w:val="20"/>
              </w:rPr>
              <w:t>Precision</w:t>
            </w:r>
          </w:p>
        </w:tc>
        <w:tc>
          <w:tcPr>
            <w:tcW w:type="dxa" w:w="1606"/>
            <w:vAlign w:val="center"/>
            <w:shd w:fill="D9EAF7"/>
          </w:tcPr>
          <w:p>
            <w:pPr>
              <w:jc w:val="center"/>
            </w:pPr>
            <w:r>
              <w:rPr>
                <w:rFonts w:ascii="Times New Roman" w:hAnsi="Times New Roman" w:eastAsia="Times New Roman"/>
                <w:sz w:val="20"/>
              </w:rPr>
            </w:r>
            <w:r>
              <w:rPr>
                <w:rFonts w:ascii="Times New Roman" w:hAnsi="Times New Roman" w:eastAsia="Times New Roman"/>
                <w:b/>
                <w:sz w:val="20"/>
              </w:rPr>
              <w:t>Recall</w:t>
            </w:r>
          </w:p>
        </w:tc>
        <w:tc>
          <w:tcPr>
            <w:tcW w:type="dxa" w:w="1606"/>
            <w:vAlign w:val="center"/>
            <w:shd w:fill="D9EAF7"/>
          </w:tcPr>
          <w:p>
            <w:pPr>
              <w:jc w:val="center"/>
            </w:pPr>
            <w:r>
              <w:rPr>
                <w:rFonts w:ascii="Times New Roman" w:hAnsi="Times New Roman" w:eastAsia="Times New Roman"/>
                <w:sz w:val="20"/>
              </w:rPr>
            </w:r>
            <w:r>
              <w:rPr>
                <w:rFonts w:ascii="Times New Roman" w:hAnsi="Times New Roman" w:eastAsia="Times New Roman"/>
                <w:b/>
                <w:sz w:val="20"/>
              </w:rPr>
              <w:t>F1</w:t>
            </w:r>
          </w:p>
        </w:tc>
        <w:tc>
          <w:tcPr>
            <w:tcW w:type="dxa" w:w="1606"/>
            <w:vAlign w:val="center"/>
            <w:shd w:fill="D9EAF7"/>
          </w:tcPr>
          <w:p>
            <w:pPr>
              <w:jc w:val="center"/>
            </w:pPr>
            <w:r>
              <w:rPr>
                <w:rFonts w:ascii="Times New Roman" w:hAnsi="Times New Roman" w:eastAsia="Times New Roman"/>
                <w:sz w:val="20"/>
              </w:rPr>
            </w:r>
            <w:r>
              <w:rPr>
                <w:rFonts w:ascii="Times New Roman" w:hAnsi="Times New Roman" w:eastAsia="Times New Roman"/>
                <w:b/>
                <w:sz w:val="20"/>
              </w:rPr>
              <w:t>AUPRC</w:t>
            </w:r>
          </w:p>
        </w:tc>
        <w:tc>
          <w:tcPr>
            <w:tcW w:type="dxa" w:w="792"/>
            <w:vAlign w:val="center"/>
          </w:tcPr>
          <w:p>
            <w:pPr>
              <w:jc w:val="center"/>
            </w:pPr>
            <w:r>
              <w:rPr>
                <w:rFonts w:ascii="Times New Roman" w:hAnsi="Times New Roman" w:eastAsia="Times New Roman"/>
                <w:sz w:val="20"/>
              </w:rPr>
            </w:r>
            <w:r>
              <w:rPr>
                <w:rFonts w:ascii="Times New Roman" w:hAnsi="Times New Roman" w:eastAsia="Times New Roman"/>
                <w:b/>
                <w:sz w:val="20"/>
              </w:rPr>
              <w:t>ECE</w:t>
            </w:r>
          </w:p>
        </w:tc>
        <w:tc>
          <w:tcPr>
            <w:tcW w:type="dxa" w:w="792"/>
            <w:vAlign w:val="center"/>
          </w:tcPr>
          <w:p>
            <w:pPr>
              <w:jc w:val="center"/>
            </w:pPr>
            <w:r>
              <w:rPr>
                <w:rFonts w:ascii="Times New Roman" w:hAnsi="Times New Roman" w:eastAsia="Times New Roman"/>
                <w:sz w:val="20"/>
              </w:rPr>
            </w:r>
            <w:r>
              <w:rPr>
                <w:rFonts w:ascii="Times New Roman" w:hAnsi="Times New Roman" w:eastAsia="Times New Roman"/>
                <w:b/>
                <w:sz w:val="20"/>
              </w:rPr>
              <w:t>Brier</w:t>
            </w:r>
          </w:p>
        </w:tc>
      </w:tr>
      <w:tr>
        <w:tc>
          <w:tcPr>
            <w:tcW w:type="dxa" w:w="1606"/>
            <w:vAlign w:val="center"/>
          </w:tcPr>
          <w:p>
            <w:pPr>
              <w:jc w:val="center"/>
            </w:pPr>
            <w:r>
              <w:rPr>
                <w:rFonts w:ascii="Times New Roman" w:hAnsi="Times New Roman" w:eastAsia="Times New Roman"/>
                <w:sz w:val="20"/>
              </w:rPr>
            </w:r>
            <w:r>
              <w:rPr>
                <w:rFonts w:ascii="Times New Roman" w:hAnsi="Times New Roman" w:eastAsia="Times New Roman"/>
                <w:b w:val="0"/>
                <w:sz w:val="20"/>
              </w:rPr>
              <w:t>scalar</w:t>
            </w:r>
          </w:p>
        </w:tc>
        <w:tc>
          <w:tcPr>
            <w:tcW w:type="dxa" w:w="1606"/>
            <w:vAlign w:val="center"/>
          </w:tcPr>
          <w:p>
            <w:pPr>
              <w:jc w:val="center"/>
            </w:pPr>
            <w:r>
              <w:rPr>
                <w:rFonts w:ascii="Times New Roman" w:hAnsi="Times New Roman" w:eastAsia="Times New Roman"/>
                <w:sz w:val="20"/>
              </w:rPr>
            </w:r>
            <w:r>
              <w:rPr>
                <w:rFonts w:ascii="Times New Roman" w:hAnsi="Times New Roman" w:eastAsia="Times New Roman"/>
                <w:b w:val="0"/>
                <w:sz w:val="20"/>
              </w:rPr>
              <w:t>10%</w:t>
            </w:r>
          </w:p>
        </w:tc>
        <w:tc>
          <w:tcPr>
            <w:tcW w:type="dxa" w:w="1606"/>
            <w:vAlign w:val="center"/>
          </w:tcPr>
          <w:p>
            <w:pPr>
              <w:jc w:val="center"/>
            </w:pPr>
            <w:r>
              <w:rPr>
                <w:rFonts w:ascii="Times New Roman" w:hAnsi="Times New Roman" w:eastAsia="Times New Roman"/>
                <w:sz w:val="20"/>
              </w:rPr>
            </w:r>
            <w:r>
              <w:rPr>
                <w:rFonts w:ascii="Times New Roman" w:hAnsi="Times New Roman" w:eastAsia="Times New Roman"/>
                <w:b w:val="0"/>
                <w:sz w:val="20"/>
              </w:rPr>
              <w:t>0,296</w:t>
            </w:r>
          </w:p>
        </w:tc>
        <w:tc>
          <w:tcPr>
            <w:tcW w:type="dxa" w:w="1606"/>
            <w:vAlign w:val="center"/>
          </w:tcPr>
          <w:p>
            <w:pPr>
              <w:jc w:val="center"/>
            </w:pPr>
            <w:r>
              <w:rPr>
                <w:rFonts w:ascii="Times New Roman" w:hAnsi="Times New Roman" w:eastAsia="Times New Roman"/>
                <w:sz w:val="20"/>
              </w:rPr>
            </w:r>
            <w:r>
              <w:rPr>
                <w:rFonts w:ascii="Times New Roman" w:hAnsi="Times New Roman" w:eastAsia="Times New Roman"/>
                <w:b w:val="0"/>
                <w:sz w:val="20"/>
              </w:rPr>
              <w:t>0,078</w:t>
            </w:r>
          </w:p>
        </w:tc>
        <w:tc>
          <w:tcPr>
            <w:tcW w:type="dxa" w:w="1606"/>
            <w:vAlign w:val="center"/>
          </w:tcPr>
          <w:p>
            <w:pPr>
              <w:jc w:val="center"/>
            </w:pPr>
            <w:r>
              <w:rPr>
                <w:rFonts w:ascii="Times New Roman" w:hAnsi="Times New Roman" w:eastAsia="Times New Roman"/>
                <w:sz w:val="20"/>
              </w:rPr>
            </w:r>
            <w:r>
              <w:rPr>
                <w:rFonts w:ascii="Times New Roman" w:hAnsi="Times New Roman" w:eastAsia="Times New Roman"/>
                <w:b w:val="0"/>
                <w:sz w:val="20"/>
              </w:rPr>
              <w:t>0,123</w:t>
            </w:r>
          </w:p>
        </w:tc>
        <w:tc>
          <w:tcPr>
            <w:tcW w:type="dxa" w:w="1606"/>
            <w:vAlign w:val="center"/>
          </w:tcPr>
          <w:p>
            <w:pPr>
              <w:jc w:val="center"/>
            </w:pPr>
            <w:r>
              <w:rPr>
                <w:rFonts w:ascii="Times New Roman" w:hAnsi="Times New Roman" w:eastAsia="Times New Roman"/>
                <w:sz w:val="20"/>
              </w:rPr>
            </w:r>
            <w:r>
              <w:rPr>
                <w:rFonts w:ascii="Times New Roman" w:hAnsi="Times New Roman" w:eastAsia="Times New Roman"/>
                <w:b w:val="0"/>
                <w:sz w:val="20"/>
              </w:rPr>
              <w:t>0,348</w:t>
            </w:r>
          </w:p>
        </w:tc>
        <w:tc>
          <w:tcPr>
            <w:tcW w:type="dxa" w:w="792"/>
            <w:vAlign w:val="center"/>
          </w:tcPr>
          <w:p>
            <w:pPr>
              <w:jc w:val="center"/>
            </w:pPr>
            <w:r>
              <w:rPr>
                <w:rFonts w:ascii="Times New Roman" w:hAnsi="Times New Roman" w:eastAsia="Times New Roman"/>
                <w:sz w:val="20"/>
              </w:rPr>
            </w:r>
            <w:r>
              <w:rPr>
                <w:rFonts w:ascii="Times New Roman" w:hAnsi="Times New Roman" w:eastAsia="Times New Roman"/>
                <w:b w:val="0"/>
                <w:sz w:val="20"/>
              </w:rPr>
              <w:t>0,382</w:t>
            </w:r>
          </w:p>
        </w:tc>
        <w:tc>
          <w:tcPr>
            <w:tcW w:type="dxa" w:w="792"/>
            <w:vAlign w:val="center"/>
          </w:tcPr>
          <w:p>
            <w:pPr>
              <w:jc w:val="center"/>
            </w:pPr>
            <w:r>
              <w:rPr>
                <w:rFonts w:ascii="Times New Roman" w:hAnsi="Times New Roman" w:eastAsia="Times New Roman"/>
                <w:sz w:val="20"/>
              </w:rPr>
            </w:r>
            <w:r>
              <w:rPr>
                <w:rFonts w:ascii="Times New Roman" w:hAnsi="Times New Roman" w:eastAsia="Times New Roman"/>
                <w:b w:val="0"/>
                <w:sz w:val="20"/>
              </w:rPr>
              <w:t>—</w:t>
            </w:r>
          </w:p>
        </w:tc>
      </w:tr>
      <w:tr>
        <w:tc>
          <w:tcPr>
            <w:tcW w:type="dxa" w:w="1606"/>
            <w:vAlign w:val="center"/>
          </w:tcPr>
          <w:p>
            <w:pPr>
              <w:jc w:val="center"/>
            </w:pPr>
            <w:r>
              <w:rPr>
                <w:rFonts w:ascii="Times New Roman" w:hAnsi="Times New Roman" w:eastAsia="Times New Roman"/>
                <w:sz w:val="20"/>
              </w:rPr>
            </w:r>
            <w:r>
              <w:rPr>
                <w:rFonts w:ascii="Times New Roman" w:hAnsi="Times New Roman" w:eastAsia="Times New Roman"/>
                <w:b w:val="0"/>
                <w:sz w:val="20"/>
              </w:rPr>
              <w:t>scalar</w:t>
            </w:r>
          </w:p>
        </w:tc>
        <w:tc>
          <w:tcPr>
            <w:tcW w:type="dxa" w:w="1606"/>
            <w:vAlign w:val="center"/>
          </w:tcPr>
          <w:p>
            <w:pPr>
              <w:jc w:val="center"/>
            </w:pPr>
            <w:r>
              <w:rPr>
                <w:rFonts w:ascii="Times New Roman" w:hAnsi="Times New Roman" w:eastAsia="Times New Roman"/>
                <w:sz w:val="20"/>
              </w:rPr>
            </w:r>
            <w:r>
              <w:rPr>
                <w:rFonts w:ascii="Times New Roman" w:hAnsi="Times New Roman" w:eastAsia="Times New Roman"/>
                <w:b w:val="0"/>
                <w:sz w:val="20"/>
              </w:rPr>
              <w:t>20%</w:t>
            </w:r>
          </w:p>
        </w:tc>
        <w:tc>
          <w:tcPr>
            <w:tcW w:type="dxa" w:w="1606"/>
            <w:vAlign w:val="center"/>
          </w:tcPr>
          <w:p>
            <w:pPr>
              <w:jc w:val="center"/>
            </w:pPr>
            <w:r>
              <w:rPr>
                <w:rFonts w:ascii="Times New Roman" w:hAnsi="Times New Roman" w:eastAsia="Times New Roman"/>
                <w:sz w:val="20"/>
              </w:rPr>
            </w:r>
            <w:r>
              <w:rPr>
                <w:rFonts w:ascii="Times New Roman" w:hAnsi="Times New Roman" w:eastAsia="Times New Roman"/>
                <w:b w:val="0"/>
                <w:sz w:val="20"/>
              </w:rPr>
              <w:t>0,340</w:t>
            </w:r>
          </w:p>
        </w:tc>
        <w:tc>
          <w:tcPr>
            <w:tcW w:type="dxa" w:w="1606"/>
            <w:vAlign w:val="center"/>
          </w:tcPr>
          <w:p>
            <w:pPr>
              <w:jc w:val="center"/>
            </w:pPr>
            <w:r>
              <w:rPr>
                <w:rFonts w:ascii="Times New Roman" w:hAnsi="Times New Roman" w:eastAsia="Times New Roman"/>
                <w:sz w:val="20"/>
              </w:rPr>
            </w:r>
            <w:r>
              <w:rPr>
                <w:rFonts w:ascii="Times New Roman" w:hAnsi="Times New Roman" w:eastAsia="Times New Roman"/>
                <w:b w:val="0"/>
                <w:sz w:val="20"/>
              </w:rPr>
              <w:t>0,178</w:t>
            </w:r>
          </w:p>
        </w:tc>
        <w:tc>
          <w:tcPr>
            <w:tcW w:type="dxa" w:w="1606"/>
            <w:vAlign w:val="center"/>
          </w:tcPr>
          <w:p>
            <w:pPr>
              <w:jc w:val="center"/>
            </w:pPr>
            <w:r>
              <w:rPr>
                <w:rFonts w:ascii="Times New Roman" w:hAnsi="Times New Roman" w:eastAsia="Times New Roman"/>
                <w:sz w:val="20"/>
              </w:rPr>
            </w:r>
            <w:r>
              <w:rPr>
                <w:rFonts w:ascii="Times New Roman" w:hAnsi="Times New Roman" w:eastAsia="Times New Roman"/>
                <w:b w:val="0"/>
                <w:sz w:val="20"/>
              </w:rPr>
              <w:t>0,234</w:t>
            </w:r>
          </w:p>
        </w:tc>
        <w:tc>
          <w:tcPr>
            <w:tcW w:type="dxa" w:w="1606"/>
            <w:vAlign w:val="center"/>
          </w:tcPr>
          <w:p>
            <w:pPr>
              <w:jc w:val="center"/>
            </w:pPr>
            <w:r>
              <w:rPr>
                <w:rFonts w:ascii="Times New Roman" w:hAnsi="Times New Roman" w:eastAsia="Times New Roman"/>
                <w:sz w:val="20"/>
              </w:rPr>
            </w:r>
            <w:r>
              <w:rPr>
                <w:rFonts w:ascii="Times New Roman" w:hAnsi="Times New Roman" w:eastAsia="Times New Roman"/>
                <w:b w:val="0"/>
                <w:sz w:val="20"/>
              </w:rPr>
              <w:t>0,348</w:t>
            </w:r>
          </w:p>
        </w:tc>
        <w:tc>
          <w:tcPr>
            <w:tcW w:type="dxa" w:w="792"/>
            <w:vAlign w:val="center"/>
          </w:tcPr>
          <w:p>
            <w:pPr>
              <w:jc w:val="center"/>
            </w:pPr>
            <w:r>
              <w:rPr>
                <w:rFonts w:ascii="Times New Roman" w:hAnsi="Times New Roman" w:eastAsia="Times New Roman"/>
                <w:sz w:val="20"/>
              </w:rPr>
            </w:r>
            <w:r>
              <w:rPr>
                <w:rFonts w:ascii="Times New Roman" w:hAnsi="Times New Roman" w:eastAsia="Times New Roman"/>
                <w:b w:val="0"/>
                <w:sz w:val="20"/>
              </w:rPr>
              <w:t>0,382</w:t>
            </w:r>
          </w:p>
        </w:tc>
        <w:tc>
          <w:tcPr>
            <w:tcW w:type="dxa" w:w="792"/>
            <w:vAlign w:val="center"/>
          </w:tcPr>
          <w:p>
            <w:pPr>
              <w:jc w:val="center"/>
            </w:pPr>
            <w:r>
              <w:rPr>
                <w:rFonts w:ascii="Times New Roman" w:hAnsi="Times New Roman" w:eastAsia="Times New Roman"/>
                <w:sz w:val="20"/>
              </w:rPr>
            </w:r>
            <w:r>
              <w:rPr>
                <w:rFonts w:ascii="Times New Roman" w:hAnsi="Times New Roman" w:eastAsia="Times New Roman"/>
                <w:b w:val="0"/>
                <w:sz w:val="20"/>
              </w:rPr>
              <w:t>—</w:t>
            </w:r>
          </w:p>
        </w:tc>
      </w:tr>
      <w:tr>
        <w:tc>
          <w:tcPr>
            <w:tcW w:type="dxa" w:w="1606"/>
            <w:vAlign w:val="center"/>
          </w:tcPr>
          <w:p>
            <w:pPr>
              <w:jc w:val="center"/>
            </w:pPr>
            <w:r>
              <w:rPr>
                <w:rFonts w:ascii="Times New Roman" w:hAnsi="Times New Roman" w:eastAsia="Times New Roman"/>
                <w:sz w:val="20"/>
              </w:rPr>
            </w:r>
            <w:r>
              <w:rPr>
                <w:rFonts w:ascii="Times New Roman" w:hAnsi="Times New Roman" w:eastAsia="Times New Roman"/>
                <w:b w:val="0"/>
                <w:sz w:val="20"/>
              </w:rPr>
              <w:t>logit-panel</w:t>
            </w:r>
          </w:p>
        </w:tc>
        <w:tc>
          <w:tcPr>
            <w:tcW w:type="dxa" w:w="1606"/>
            <w:vAlign w:val="center"/>
          </w:tcPr>
          <w:p>
            <w:pPr>
              <w:jc w:val="center"/>
            </w:pPr>
            <w:r>
              <w:rPr>
                <w:rFonts w:ascii="Times New Roman" w:hAnsi="Times New Roman" w:eastAsia="Times New Roman"/>
                <w:sz w:val="20"/>
              </w:rPr>
            </w:r>
            <w:r>
              <w:rPr>
                <w:rFonts w:ascii="Times New Roman" w:hAnsi="Times New Roman" w:eastAsia="Times New Roman"/>
                <w:b w:val="0"/>
                <w:sz w:val="20"/>
              </w:rPr>
              <w:t>10%</w:t>
            </w:r>
          </w:p>
        </w:tc>
        <w:tc>
          <w:tcPr>
            <w:tcW w:type="dxa" w:w="1606"/>
            <w:vAlign w:val="center"/>
          </w:tcPr>
          <w:p>
            <w:pPr>
              <w:jc w:val="center"/>
            </w:pPr>
            <w:r>
              <w:rPr>
                <w:rFonts w:ascii="Times New Roman" w:hAnsi="Times New Roman" w:eastAsia="Times New Roman"/>
                <w:sz w:val="20"/>
              </w:rPr>
            </w:r>
            <w:r>
              <w:rPr>
                <w:rFonts w:ascii="Times New Roman" w:hAnsi="Times New Roman" w:eastAsia="Times New Roman"/>
                <w:b w:val="0"/>
                <w:sz w:val="20"/>
              </w:rPr>
              <w:t>0,556</w:t>
            </w:r>
          </w:p>
        </w:tc>
        <w:tc>
          <w:tcPr>
            <w:tcW w:type="dxa" w:w="1606"/>
            <w:vAlign w:val="center"/>
          </w:tcPr>
          <w:p>
            <w:pPr>
              <w:jc w:val="center"/>
            </w:pPr>
            <w:r>
              <w:rPr>
                <w:rFonts w:ascii="Times New Roman" w:hAnsi="Times New Roman" w:eastAsia="Times New Roman"/>
                <w:sz w:val="20"/>
              </w:rPr>
            </w:r>
            <w:r>
              <w:rPr>
                <w:rFonts w:ascii="Times New Roman" w:hAnsi="Times New Roman" w:eastAsia="Times New Roman"/>
                <w:b w:val="0"/>
                <w:sz w:val="20"/>
              </w:rPr>
              <w:t>0,146</w:t>
            </w:r>
          </w:p>
        </w:tc>
        <w:tc>
          <w:tcPr>
            <w:tcW w:type="dxa" w:w="1606"/>
            <w:vAlign w:val="center"/>
          </w:tcPr>
          <w:p>
            <w:pPr>
              <w:jc w:val="center"/>
            </w:pPr>
            <w:r>
              <w:rPr>
                <w:rFonts w:ascii="Times New Roman" w:hAnsi="Times New Roman" w:eastAsia="Times New Roman"/>
                <w:sz w:val="20"/>
              </w:rPr>
            </w:r>
            <w:r>
              <w:rPr>
                <w:rFonts w:ascii="Times New Roman" w:hAnsi="Times New Roman" w:eastAsia="Times New Roman"/>
                <w:b w:val="0"/>
                <w:sz w:val="20"/>
              </w:rPr>
              <w:t>0,231</w:t>
            </w:r>
          </w:p>
        </w:tc>
        <w:tc>
          <w:tcPr>
            <w:tcW w:type="dxa" w:w="1606"/>
            <w:vAlign w:val="center"/>
          </w:tcPr>
          <w:p>
            <w:pPr>
              <w:jc w:val="center"/>
            </w:pPr>
            <w:r>
              <w:rPr>
                <w:rFonts w:ascii="Times New Roman" w:hAnsi="Times New Roman" w:eastAsia="Times New Roman"/>
                <w:sz w:val="20"/>
              </w:rPr>
            </w:r>
            <w:r>
              <w:rPr>
                <w:rFonts w:ascii="Times New Roman" w:hAnsi="Times New Roman" w:eastAsia="Times New Roman"/>
                <w:b w:val="0"/>
                <w:sz w:val="20"/>
              </w:rPr>
              <w:t>0,466</w:t>
            </w:r>
          </w:p>
        </w:tc>
        <w:tc>
          <w:tcPr>
            <w:tcW w:type="dxa" w:w="792"/>
            <w:vAlign w:val="center"/>
          </w:tcPr>
          <w:p>
            <w:pPr>
              <w:jc w:val="center"/>
            </w:pPr>
            <w:r>
              <w:rPr>
                <w:rFonts w:ascii="Times New Roman" w:hAnsi="Times New Roman" w:eastAsia="Times New Roman"/>
                <w:sz w:val="20"/>
              </w:rPr>
            </w:r>
            <w:r>
              <w:rPr>
                <w:rFonts w:ascii="Times New Roman" w:hAnsi="Times New Roman" w:eastAsia="Times New Roman"/>
                <w:b w:val="0"/>
                <w:sz w:val="20"/>
              </w:rPr>
              <w:t>0,017</w:t>
            </w:r>
          </w:p>
        </w:tc>
        <w:tc>
          <w:tcPr>
            <w:tcW w:type="dxa" w:w="792"/>
            <w:vAlign w:val="center"/>
          </w:tcPr>
          <w:p>
            <w:pPr>
              <w:jc w:val="center"/>
            </w:pPr>
            <w:r>
              <w:rPr>
                <w:rFonts w:ascii="Times New Roman" w:hAnsi="Times New Roman" w:eastAsia="Times New Roman"/>
                <w:sz w:val="20"/>
              </w:rPr>
            </w:r>
            <w:r>
              <w:rPr>
                <w:rFonts w:ascii="Times New Roman" w:hAnsi="Times New Roman" w:eastAsia="Times New Roman"/>
                <w:b w:val="0"/>
                <w:sz w:val="20"/>
              </w:rPr>
              <w:t>0,230</w:t>
            </w:r>
          </w:p>
        </w:tc>
      </w:tr>
      <w:tr>
        <w:tc>
          <w:tcPr>
            <w:tcW w:type="dxa" w:w="1606"/>
            <w:vAlign w:val="center"/>
          </w:tcPr>
          <w:p>
            <w:pPr>
              <w:jc w:val="center"/>
            </w:pPr>
            <w:r>
              <w:rPr>
                <w:rFonts w:ascii="Times New Roman" w:hAnsi="Times New Roman" w:eastAsia="Times New Roman"/>
                <w:sz w:val="20"/>
              </w:rPr>
            </w:r>
            <w:r>
              <w:rPr>
                <w:rFonts w:ascii="Times New Roman" w:hAnsi="Times New Roman" w:eastAsia="Times New Roman"/>
                <w:b w:val="0"/>
                <w:sz w:val="20"/>
              </w:rPr>
              <w:t>logit-panel</w:t>
            </w:r>
          </w:p>
        </w:tc>
        <w:tc>
          <w:tcPr>
            <w:tcW w:type="dxa" w:w="1606"/>
            <w:vAlign w:val="center"/>
          </w:tcPr>
          <w:p>
            <w:pPr>
              <w:jc w:val="center"/>
            </w:pPr>
            <w:r>
              <w:rPr>
                <w:rFonts w:ascii="Times New Roman" w:hAnsi="Times New Roman" w:eastAsia="Times New Roman"/>
                <w:sz w:val="20"/>
              </w:rPr>
            </w:r>
            <w:r>
              <w:rPr>
                <w:rFonts w:ascii="Times New Roman" w:hAnsi="Times New Roman" w:eastAsia="Times New Roman"/>
                <w:b w:val="0"/>
                <w:sz w:val="20"/>
              </w:rPr>
              <w:t>20%</w:t>
            </w:r>
          </w:p>
        </w:tc>
        <w:tc>
          <w:tcPr>
            <w:tcW w:type="dxa" w:w="1606"/>
            <w:vAlign w:val="center"/>
          </w:tcPr>
          <w:p>
            <w:pPr>
              <w:jc w:val="center"/>
            </w:pPr>
            <w:r>
              <w:rPr>
                <w:rFonts w:ascii="Times New Roman" w:hAnsi="Times New Roman" w:eastAsia="Times New Roman"/>
                <w:sz w:val="20"/>
              </w:rPr>
            </w:r>
            <w:r>
              <w:rPr>
                <w:rFonts w:ascii="Times New Roman" w:hAnsi="Times New Roman" w:eastAsia="Times New Roman"/>
                <w:b w:val="0"/>
                <w:sz w:val="20"/>
              </w:rPr>
              <w:t>0,506</w:t>
            </w:r>
          </w:p>
        </w:tc>
        <w:tc>
          <w:tcPr>
            <w:tcW w:type="dxa" w:w="1606"/>
            <w:vAlign w:val="center"/>
          </w:tcPr>
          <w:p>
            <w:pPr>
              <w:jc w:val="center"/>
            </w:pPr>
            <w:r>
              <w:rPr>
                <w:rFonts w:ascii="Times New Roman" w:hAnsi="Times New Roman" w:eastAsia="Times New Roman"/>
                <w:sz w:val="20"/>
              </w:rPr>
            </w:r>
            <w:r>
              <w:rPr>
                <w:rFonts w:ascii="Times New Roman" w:hAnsi="Times New Roman" w:eastAsia="Times New Roman"/>
                <w:b w:val="0"/>
                <w:sz w:val="20"/>
              </w:rPr>
              <w:t>0,265</w:t>
            </w:r>
          </w:p>
        </w:tc>
        <w:tc>
          <w:tcPr>
            <w:tcW w:type="dxa" w:w="1606"/>
            <w:vAlign w:val="center"/>
          </w:tcPr>
          <w:p>
            <w:pPr>
              <w:jc w:val="center"/>
            </w:pPr>
            <w:r>
              <w:rPr>
                <w:rFonts w:ascii="Times New Roman" w:hAnsi="Times New Roman" w:eastAsia="Times New Roman"/>
                <w:sz w:val="20"/>
              </w:rPr>
            </w:r>
            <w:r>
              <w:rPr>
                <w:rFonts w:ascii="Times New Roman" w:hAnsi="Times New Roman" w:eastAsia="Times New Roman"/>
                <w:b w:val="0"/>
                <w:sz w:val="20"/>
              </w:rPr>
              <w:t>0,348</w:t>
            </w:r>
          </w:p>
        </w:tc>
        <w:tc>
          <w:tcPr>
            <w:tcW w:type="dxa" w:w="1606"/>
            <w:vAlign w:val="center"/>
          </w:tcPr>
          <w:p>
            <w:pPr>
              <w:jc w:val="center"/>
            </w:pPr>
            <w:r>
              <w:rPr>
                <w:rFonts w:ascii="Times New Roman" w:hAnsi="Times New Roman" w:eastAsia="Times New Roman"/>
                <w:sz w:val="20"/>
              </w:rPr>
            </w:r>
            <w:r>
              <w:rPr>
                <w:rFonts w:ascii="Times New Roman" w:hAnsi="Times New Roman" w:eastAsia="Times New Roman"/>
                <w:b w:val="0"/>
                <w:sz w:val="20"/>
              </w:rPr>
              <w:t>0,466</w:t>
            </w:r>
          </w:p>
        </w:tc>
        <w:tc>
          <w:tcPr>
            <w:tcW w:type="dxa" w:w="792"/>
            <w:vAlign w:val="center"/>
          </w:tcPr>
          <w:p>
            <w:pPr>
              <w:jc w:val="center"/>
            </w:pPr>
            <w:r>
              <w:rPr>
                <w:rFonts w:ascii="Times New Roman" w:hAnsi="Times New Roman" w:eastAsia="Times New Roman"/>
                <w:sz w:val="20"/>
              </w:rPr>
            </w:r>
            <w:r>
              <w:rPr>
                <w:rFonts w:ascii="Times New Roman" w:hAnsi="Times New Roman" w:eastAsia="Times New Roman"/>
                <w:b w:val="0"/>
                <w:sz w:val="20"/>
              </w:rPr>
              <w:t>0,017</w:t>
            </w:r>
          </w:p>
        </w:tc>
        <w:tc>
          <w:tcPr>
            <w:tcW w:type="dxa" w:w="792"/>
            <w:vAlign w:val="center"/>
          </w:tcPr>
          <w:p>
            <w:pPr>
              <w:jc w:val="center"/>
            </w:pPr>
            <w:r>
              <w:rPr>
                <w:rFonts w:ascii="Times New Roman" w:hAnsi="Times New Roman" w:eastAsia="Times New Roman"/>
                <w:sz w:val="20"/>
              </w:rPr>
            </w:r>
            <w:r>
              <w:rPr>
                <w:rFonts w:ascii="Times New Roman" w:hAnsi="Times New Roman" w:eastAsia="Times New Roman"/>
                <w:b w:val="0"/>
                <w:sz w:val="20"/>
              </w:rPr>
              <w:t>0,230</w:t>
            </w:r>
          </w:p>
        </w:tc>
      </w:tr>
      <w:tr>
        <w:tc>
          <w:tcPr>
            <w:tcW w:type="dxa" w:w="1606"/>
            <w:vAlign w:val="center"/>
          </w:tcPr>
          <w:p>
            <w:pPr>
              <w:jc w:val="center"/>
            </w:pPr>
            <w:r>
              <w:rPr>
                <w:rFonts w:ascii="Times New Roman" w:hAnsi="Times New Roman" w:eastAsia="Times New Roman"/>
                <w:sz w:val="20"/>
              </w:rPr>
            </w:r>
            <w:r>
              <w:rPr>
                <w:rFonts w:ascii="Times New Roman" w:hAnsi="Times New Roman" w:eastAsia="Times New Roman"/>
                <w:b w:val="0"/>
                <w:sz w:val="20"/>
              </w:rPr>
              <w:t>fuzzy-only v4</w:t>
            </w:r>
          </w:p>
        </w:tc>
        <w:tc>
          <w:tcPr>
            <w:tcW w:type="dxa" w:w="1606"/>
            <w:vAlign w:val="center"/>
          </w:tcPr>
          <w:p>
            <w:pPr>
              <w:jc w:val="center"/>
            </w:pPr>
            <w:r>
              <w:rPr>
                <w:rFonts w:ascii="Times New Roman" w:hAnsi="Times New Roman" w:eastAsia="Times New Roman"/>
                <w:sz w:val="20"/>
              </w:rPr>
            </w:r>
            <w:r>
              <w:rPr>
                <w:rFonts w:ascii="Times New Roman" w:hAnsi="Times New Roman" w:eastAsia="Times New Roman"/>
                <w:b w:val="0"/>
                <w:sz w:val="20"/>
              </w:rPr>
              <w:t>10%</w:t>
            </w:r>
          </w:p>
        </w:tc>
        <w:tc>
          <w:tcPr>
            <w:tcW w:type="dxa" w:w="1606"/>
            <w:vAlign w:val="center"/>
          </w:tcPr>
          <w:p>
            <w:pPr>
              <w:jc w:val="center"/>
            </w:pPr>
            <w:r>
              <w:rPr>
                <w:rFonts w:ascii="Times New Roman" w:hAnsi="Times New Roman" w:eastAsia="Times New Roman"/>
                <w:sz w:val="20"/>
              </w:rPr>
            </w:r>
            <w:r>
              <w:rPr>
                <w:rFonts w:ascii="Times New Roman" w:hAnsi="Times New Roman" w:eastAsia="Times New Roman"/>
                <w:b w:val="0"/>
                <w:sz w:val="20"/>
              </w:rPr>
              <w:t>0,432</w:t>
            </w:r>
          </w:p>
        </w:tc>
        <w:tc>
          <w:tcPr>
            <w:tcW w:type="dxa" w:w="1606"/>
            <w:vAlign w:val="center"/>
          </w:tcPr>
          <w:p>
            <w:pPr>
              <w:jc w:val="center"/>
            </w:pPr>
            <w:r>
              <w:rPr>
                <w:rFonts w:ascii="Times New Roman" w:hAnsi="Times New Roman" w:eastAsia="Times New Roman"/>
                <w:sz w:val="20"/>
              </w:rPr>
            </w:r>
            <w:r>
              <w:rPr>
                <w:rFonts w:ascii="Times New Roman" w:hAnsi="Times New Roman" w:eastAsia="Times New Roman"/>
                <w:b w:val="0"/>
                <w:sz w:val="20"/>
              </w:rPr>
              <w:t>0,113</w:t>
            </w:r>
          </w:p>
        </w:tc>
        <w:tc>
          <w:tcPr>
            <w:tcW w:type="dxa" w:w="1606"/>
            <w:vAlign w:val="center"/>
          </w:tcPr>
          <w:p>
            <w:pPr>
              <w:jc w:val="center"/>
            </w:pPr>
            <w:r>
              <w:rPr>
                <w:rFonts w:ascii="Times New Roman" w:hAnsi="Times New Roman" w:eastAsia="Times New Roman"/>
                <w:sz w:val="20"/>
              </w:rPr>
            </w:r>
            <w:r>
              <w:rPr>
                <w:rFonts w:ascii="Times New Roman" w:hAnsi="Times New Roman" w:eastAsia="Times New Roman"/>
                <w:b w:val="0"/>
                <w:sz w:val="20"/>
              </w:rPr>
              <w:t>0,179</w:t>
            </w:r>
          </w:p>
        </w:tc>
        <w:tc>
          <w:tcPr>
            <w:tcW w:type="dxa" w:w="1606"/>
            <w:vAlign w:val="center"/>
          </w:tcPr>
          <w:p>
            <w:pPr>
              <w:jc w:val="center"/>
            </w:pPr>
            <w:r>
              <w:rPr>
                <w:rFonts w:ascii="Times New Roman" w:hAnsi="Times New Roman" w:eastAsia="Times New Roman"/>
                <w:sz w:val="20"/>
              </w:rPr>
            </w:r>
            <w:r>
              <w:rPr>
                <w:rFonts w:ascii="Times New Roman" w:hAnsi="Times New Roman" w:eastAsia="Times New Roman"/>
                <w:b w:val="0"/>
                <w:sz w:val="20"/>
              </w:rPr>
              <w:t>0,415</w:t>
            </w:r>
          </w:p>
        </w:tc>
        <w:tc>
          <w:tcPr>
            <w:tcW w:type="dxa" w:w="792"/>
            <w:vAlign w:val="center"/>
          </w:tcPr>
          <w:p>
            <w:pPr>
              <w:jc w:val="center"/>
            </w:pPr>
            <w:r>
              <w:rPr>
                <w:rFonts w:ascii="Times New Roman" w:hAnsi="Times New Roman" w:eastAsia="Times New Roman"/>
                <w:sz w:val="20"/>
              </w:rPr>
            </w:r>
            <w:r>
              <w:rPr>
                <w:rFonts w:ascii="Times New Roman" w:hAnsi="Times New Roman" w:eastAsia="Times New Roman"/>
                <w:b w:val="0"/>
                <w:sz w:val="20"/>
              </w:rPr>
              <w:t>0,038</w:t>
            </w:r>
          </w:p>
        </w:tc>
        <w:tc>
          <w:tcPr>
            <w:tcW w:type="dxa" w:w="792"/>
            <w:vAlign w:val="center"/>
          </w:tcPr>
          <w:p>
            <w:pPr>
              <w:jc w:val="center"/>
            </w:pPr>
            <w:r>
              <w:rPr>
                <w:rFonts w:ascii="Times New Roman" w:hAnsi="Times New Roman" w:eastAsia="Times New Roman"/>
                <w:sz w:val="20"/>
              </w:rPr>
            </w:r>
            <w:r>
              <w:rPr>
                <w:rFonts w:ascii="Times New Roman" w:hAnsi="Times New Roman" w:eastAsia="Times New Roman"/>
                <w:b w:val="0"/>
                <w:sz w:val="20"/>
              </w:rPr>
              <w:t>0,237</w:t>
            </w:r>
          </w:p>
        </w:tc>
      </w:tr>
      <w:tr>
        <w:tc>
          <w:tcPr>
            <w:tcW w:type="dxa" w:w="1606"/>
            <w:vAlign w:val="center"/>
          </w:tcPr>
          <w:p>
            <w:pPr>
              <w:jc w:val="center"/>
            </w:pPr>
            <w:r>
              <w:rPr>
                <w:rFonts w:ascii="Times New Roman" w:hAnsi="Times New Roman" w:eastAsia="Times New Roman"/>
                <w:sz w:val="20"/>
              </w:rPr>
            </w:r>
            <w:r>
              <w:rPr>
                <w:rFonts w:ascii="Times New Roman" w:hAnsi="Times New Roman" w:eastAsia="Times New Roman"/>
                <w:b w:val="0"/>
                <w:sz w:val="20"/>
              </w:rPr>
              <w:t>fuzzy-only v4</w:t>
            </w:r>
          </w:p>
        </w:tc>
        <w:tc>
          <w:tcPr>
            <w:tcW w:type="dxa" w:w="1606"/>
            <w:vAlign w:val="center"/>
          </w:tcPr>
          <w:p>
            <w:pPr>
              <w:jc w:val="center"/>
            </w:pPr>
            <w:r>
              <w:rPr>
                <w:rFonts w:ascii="Times New Roman" w:hAnsi="Times New Roman" w:eastAsia="Times New Roman"/>
                <w:sz w:val="20"/>
              </w:rPr>
            </w:r>
            <w:r>
              <w:rPr>
                <w:rFonts w:ascii="Times New Roman" w:hAnsi="Times New Roman" w:eastAsia="Times New Roman"/>
                <w:b w:val="0"/>
                <w:sz w:val="20"/>
              </w:rPr>
              <w:t>20%</w:t>
            </w:r>
          </w:p>
        </w:tc>
        <w:tc>
          <w:tcPr>
            <w:tcW w:type="dxa" w:w="1606"/>
            <w:vAlign w:val="center"/>
          </w:tcPr>
          <w:p>
            <w:pPr>
              <w:jc w:val="center"/>
            </w:pPr>
            <w:r>
              <w:rPr>
                <w:rFonts w:ascii="Times New Roman" w:hAnsi="Times New Roman" w:eastAsia="Times New Roman"/>
                <w:sz w:val="20"/>
              </w:rPr>
            </w:r>
            <w:r>
              <w:rPr>
                <w:rFonts w:ascii="Times New Roman" w:hAnsi="Times New Roman" w:eastAsia="Times New Roman"/>
                <w:b w:val="0"/>
                <w:sz w:val="20"/>
              </w:rPr>
              <w:t>0,401</w:t>
            </w:r>
          </w:p>
        </w:tc>
        <w:tc>
          <w:tcPr>
            <w:tcW w:type="dxa" w:w="1606"/>
            <w:vAlign w:val="center"/>
          </w:tcPr>
          <w:p>
            <w:pPr>
              <w:jc w:val="center"/>
            </w:pPr>
            <w:r>
              <w:rPr>
                <w:rFonts w:ascii="Times New Roman" w:hAnsi="Times New Roman" w:eastAsia="Times New Roman"/>
                <w:sz w:val="20"/>
              </w:rPr>
            </w:r>
            <w:r>
              <w:rPr>
                <w:rFonts w:ascii="Times New Roman" w:hAnsi="Times New Roman" w:eastAsia="Times New Roman"/>
                <w:b w:val="0"/>
                <w:sz w:val="20"/>
              </w:rPr>
              <w:t>0,210</w:t>
            </w:r>
          </w:p>
        </w:tc>
        <w:tc>
          <w:tcPr>
            <w:tcW w:type="dxa" w:w="1606"/>
            <w:vAlign w:val="center"/>
          </w:tcPr>
          <w:p>
            <w:pPr>
              <w:jc w:val="center"/>
            </w:pPr>
            <w:r>
              <w:rPr>
                <w:rFonts w:ascii="Times New Roman" w:hAnsi="Times New Roman" w:eastAsia="Times New Roman"/>
                <w:sz w:val="20"/>
              </w:rPr>
            </w:r>
            <w:r>
              <w:rPr>
                <w:rFonts w:ascii="Times New Roman" w:hAnsi="Times New Roman" w:eastAsia="Times New Roman"/>
                <w:b w:val="0"/>
                <w:sz w:val="20"/>
              </w:rPr>
              <w:t>0,276</w:t>
            </w:r>
          </w:p>
        </w:tc>
        <w:tc>
          <w:tcPr>
            <w:tcW w:type="dxa" w:w="1606"/>
            <w:vAlign w:val="center"/>
          </w:tcPr>
          <w:p>
            <w:pPr>
              <w:jc w:val="center"/>
            </w:pPr>
            <w:r>
              <w:rPr>
                <w:rFonts w:ascii="Times New Roman" w:hAnsi="Times New Roman" w:eastAsia="Times New Roman"/>
                <w:sz w:val="20"/>
              </w:rPr>
            </w:r>
            <w:r>
              <w:rPr>
                <w:rFonts w:ascii="Times New Roman" w:hAnsi="Times New Roman" w:eastAsia="Times New Roman"/>
                <w:b w:val="0"/>
                <w:sz w:val="20"/>
              </w:rPr>
              <w:t>0,415</w:t>
            </w:r>
          </w:p>
        </w:tc>
        <w:tc>
          <w:tcPr>
            <w:tcW w:type="dxa" w:w="792"/>
            <w:vAlign w:val="center"/>
          </w:tcPr>
          <w:p>
            <w:pPr>
              <w:jc w:val="center"/>
            </w:pPr>
            <w:r>
              <w:rPr>
                <w:rFonts w:ascii="Times New Roman" w:hAnsi="Times New Roman" w:eastAsia="Times New Roman"/>
                <w:sz w:val="20"/>
              </w:rPr>
            </w:r>
            <w:r>
              <w:rPr>
                <w:rFonts w:ascii="Times New Roman" w:hAnsi="Times New Roman" w:eastAsia="Times New Roman"/>
                <w:b w:val="0"/>
                <w:sz w:val="20"/>
              </w:rPr>
              <w:t>0,038</w:t>
            </w:r>
          </w:p>
        </w:tc>
        <w:tc>
          <w:tcPr>
            <w:tcW w:type="dxa" w:w="792"/>
            <w:vAlign w:val="center"/>
          </w:tcPr>
          <w:p>
            <w:pPr>
              <w:jc w:val="center"/>
            </w:pPr>
            <w:r>
              <w:rPr>
                <w:rFonts w:ascii="Times New Roman" w:hAnsi="Times New Roman" w:eastAsia="Times New Roman"/>
                <w:sz w:val="20"/>
              </w:rPr>
            </w:r>
            <w:r>
              <w:rPr>
                <w:rFonts w:ascii="Times New Roman" w:hAnsi="Times New Roman" w:eastAsia="Times New Roman"/>
                <w:b w:val="0"/>
                <w:sz w:val="20"/>
              </w:rPr>
              <w:t>0,237</w:t>
            </w:r>
          </w:p>
        </w:tc>
      </w:tr>
      <w:tr>
        <w:tc>
          <w:tcPr>
            <w:tcW w:type="dxa" w:w="1606"/>
            <w:vAlign w:val="center"/>
          </w:tcPr>
          <w:p>
            <w:pPr>
              <w:jc w:val="center"/>
            </w:pPr>
            <w:r>
              <w:rPr>
                <w:rFonts w:ascii="Times New Roman" w:hAnsi="Times New Roman" w:eastAsia="Times New Roman"/>
                <w:sz w:val="20"/>
              </w:rPr>
            </w:r>
            <w:r>
              <w:rPr>
                <w:rFonts w:ascii="Times New Roman" w:hAnsi="Times New Roman" w:eastAsia="Times New Roman"/>
                <w:b w:val="0"/>
                <w:sz w:val="20"/>
              </w:rPr>
              <w:t>soft-mix fixed v4</w:t>
            </w:r>
          </w:p>
        </w:tc>
        <w:tc>
          <w:tcPr>
            <w:tcW w:type="dxa" w:w="1606"/>
            <w:vAlign w:val="center"/>
          </w:tcPr>
          <w:p>
            <w:pPr>
              <w:jc w:val="center"/>
            </w:pPr>
            <w:r>
              <w:rPr>
                <w:rFonts w:ascii="Times New Roman" w:hAnsi="Times New Roman" w:eastAsia="Times New Roman"/>
                <w:sz w:val="20"/>
              </w:rPr>
            </w:r>
            <w:r>
              <w:rPr>
                <w:rFonts w:ascii="Times New Roman" w:hAnsi="Times New Roman" w:eastAsia="Times New Roman"/>
                <w:b w:val="0"/>
                <w:sz w:val="20"/>
              </w:rPr>
              <w:t>10%</w:t>
            </w:r>
          </w:p>
        </w:tc>
        <w:tc>
          <w:tcPr>
            <w:tcW w:type="dxa" w:w="1606"/>
            <w:vAlign w:val="center"/>
          </w:tcPr>
          <w:p>
            <w:pPr>
              <w:jc w:val="center"/>
            </w:pPr>
            <w:r>
              <w:rPr>
                <w:rFonts w:ascii="Times New Roman" w:hAnsi="Times New Roman" w:eastAsia="Times New Roman"/>
                <w:sz w:val="20"/>
              </w:rPr>
            </w:r>
            <w:r>
              <w:rPr>
                <w:rFonts w:ascii="Times New Roman" w:hAnsi="Times New Roman" w:eastAsia="Times New Roman"/>
                <w:b w:val="0"/>
                <w:sz w:val="20"/>
              </w:rPr>
              <w:t>0,531</w:t>
            </w:r>
          </w:p>
        </w:tc>
        <w:tc>
          <w:tcPr>
            <w:tcW w:type="dxa" w:w="1606"/>
            <w:vAlign w:val="center"/>
          </w:tcPr>
          <w:p>
            <w:pPr>
              <w:jc w:val="center"/>
            </w:pPr>
            <w:r>
              <w:rPr>
                <w:rFonts w:ascii="Times New Roman" w:hAnsi="Times New Roman" w:eastAsia="Times New Roman"/>
                <w:sz w:val="20"/>
              </w:rPr>
            </w:r>
            <w:r>
              <w:rPr>
                <w:rFonts w:ascii="Times New Roman" w:hAnsi="Times New Roman" w:eastAsia="Times New Roman"/>
                <w:b w:val="0"/>
                <w:sz w:val="20"/>
              </w:rPr>
              <w:t>0,139</w:t>
            </w:r>
          </w:p>
        </w:tc>
        <w:tc>
          <w:tcPr>
            <w:tcW w:type="dxa" w:w="1606"/>
            <w:vAlign w:val="center"/>
          </w:tcPr>
          <w:p>
            <w:pPr>
              <w:jc w:val="center"/>
            </w:pPr>
            <w:r>
              <w:rPr>
                <w:rFonts w:ascii="Times New Roman" w:hAnsi="Times New Roman" w:eastAsia="Times New Roman"/>
                <w:sz w:val="20"/>
              </w:rPr>
            </w:r>
            <w:r>
              <w:rPr>
                <w:rFonts w:ascii="Times New Roman" w:hAnsi="Times New Roman" w:eastAsia="Times New Roman"/>
                <w:b w:val="0"/>
                <w:sz w:val="20"/>
              </w:rPr>
              <w:t>0,221</w:t>
            </w:r>
          </w:p>
        </w:tc>
        <w:tc>
          <w:tcPr>
            <w:tcW w:type="dxa" w:w="1606"/>
            <w:vAlign w:val="center"/>
          </w:tcPr>
          <w:p>
            <w:pPr>
              <w:jc w:val="center"/>
            </w:pPr>
            <w:r>
              <w:rPr>
                <w:rFonts w:ascii="Times New Roman" w:hAnsi="Times New Roman" w:eastAsia="Times New Roman"/>
                <w:sz w:val="20"/>
              </w:rPr>
            </w:r>
            <w:r>
              <w:rPr>
                <w:rFonts w:ascii="Times New Roman" w:hAnsi="Times New Roman" w:eastAsia="Times New Roman"/>
                <w:b w:val="0"/>
                <w:sz w:val="20"/>
              </w:rPr>
              <w:t>0,463</w:t>
            </w:r>
          </w:p>
        </w:tc>
        <w:tc>
          <w:tcPr>
            <w:tcW w:type="dxa" w:w="792"/>
            <w:vAlign w:val="center"/>
          </w:tcPr>
          <w:p>
            <w:pPr>
              <w:jc w:val="center"/>
            </w:pPr>
            <w:r>
              <w:rPr>
                <w:rFonts w:ascii="Times New Roman" w:hAnsi="Times New Roman" w:eastAsia="Times New Roman"/>
                <w:sz w:val="20"/>
              </w:rPr>
            </w:r>
            <w:r>
              <w:rPr>
                <w:rFonts w:ascii="Times New Roman" w:hAnsi="Times New Roman" w:eastAsia="Times New Roman"/>
                <w:b w:val="0"/>
                <w:sz w:val="20"/>
              </w:rPr>
              <w:t>0,040</w:t>
            </w:r>
          </w:p>
        </w:tc>
        <w:tc>
          <w:tcPr>
            <w:tcW w:type="dxa" w:w="792"/>
            <w:vAlign w:val="center"/>
          </w:tcPr>
          <w:p>
            <w:pPr>
              <w:jc w:val="center"/>
            </w:pPr>
            <w:r>
              <w:rPr>
                <w:rFonts w:ascii="Times New Roman" w:hAnsi="Times New Roman" w:eastAsia="Times New Roman"/>
                <w:sz w:val="20"/>
              </w:rPr>
            </w:r>
            <w:r>
              <w:rPr>
                <w:rFonts w:ascii="Times New Roman" w:hAnsi="Times New Roman" w:eastAsia="Times New Roman"/>
                <w:b w:val="0"/>
                <w:sz w:val="20"/>
              </w:rPr>
              <w:t>0,230</w:t>
            </w:r>
          </w:p>
        </w:tc>
      </w:tr>
      <w:tr>
        <w:tc>
          <w:tcPr>
            <w:tcW w:type="dxa" w:w="1606"/>
            <w:vAlign w:val="center"/>
          </w:tcPr>
          <w:p>
            <w:pPr>
              <w:jc w:val="center"/>
            </w:pPr>
            <w:r>
              <w:rPr>
                <w:rFonts w:ascii="Times New Roman" w:hAnsi="Times New Roman" w:eastAsia="Times New Roman"/>
                <w:sz w:val="20"/>
              </w:rPr>
            </w:r>
            <w:r>
              <w:rPr>
                <w:rFonts w:ascii="Times New Roman" w:hAnsi="Times New Roman" w:eastAsia="Times New Roman"/>
                <w:b w:val="0"/>
                <w:sz w:val="20"/>
              </w:rPr>
              <w:t>soft-mix fixed v4</w:t>
            </w:r>
          </w:p>
        </w:tc>
        <w:tc>
          <w:tcPr>
            <w:tcW w:type="dxa" w:w="1606"/>
            <w:vAlign w:val="center"/>
          </w:tcPr>
          <w:p>
            <w:pPr>
              <w:jc w:val="center"/>
            </w:pPr>
            <w:r>
              <w:rPr>
                <w:rFonts w:ascii="Times New Roman" w:hAnsi="Times New Roman" w:eastAsia="Times New Roman"/>
                <w:sz w:val="20"/>
              </w:rPr>
            </w:r>
            <w:r>
              <w:rPr>
                <w:rFonts w:ascii="Times New Roman" w:hAnsi="Times New Roman" w:eastAsia="Times New Roman"/>
                <w:b w:val="0"/>
                <w:sz w:val="20"/>
              </w:rPr>
              <w:t>20%</w:t>
            </w:r>
          </w:p>
        </w:tc>
        <w:tc>
          <w:tcPr>
            <w:tcW w:type="dxa" w:w="1606"/>
            <w:vAlign w:val="center"/>
          </w:tcPr>
          <w:p>
            <w:pPr>
              <w:jc w:val="center"/>
            </w:pPr>
            <w:r>
              <w:rPr>
                <w:rFonts w:ascii="Times New Roman" w:hAnsi="Times New Roman" w:eastAsia="Times New Roman"/>
                <w:sz w:val="20"/>
              </w:rPr>
            </w:r>
            <w:r>
              <w:rPr>
                <w:rFonts w:ascii="Times New Roman" w:hAnsi="Times New Roman" w:eastAsia="Times New Roman"/>
                <w:b w:val="0"/>
                <w:sz w:val="20"/>
              </w:rPr>
              <w:t>0,500</w:t>
            </w:r>
          </w:p>
        </w:tc>
        <w:tc>
          <w:tcPr>
            <w:tcW w:type="dxa" w:w="1606"/>
            <w:vAlign w:val="center"/>
          </w:tcPr>
          <w:p>
            <w:pPr>
              <w:jc w:val="center"/>
            </w:pPr>
            <w:r>
              <w:rPr>
                <w:rFonts w:ascii="Times New Roman" w:hAnsi="Times New Roman" w:eastAsia="Times New Roman"/>
                <w:sz w:val="20"/>
              </w:rPr>
            </w:r>
            <w:r>
              <w:rPr>
                <w:rFonts w:ascii="Times New Roman" w:hAnsi="Times New Roman" w:eastAsia="Times New Roman"/>
                <w:b w:val="0"/>
                <w:sz w:val="20"/>
              </w:rPr>
              <w:t>0,262</w:t>
            </w:r>
          </w:p>
        </w:tc>
        <w:tc>
          <w:tcPr>
            <w:tcW w:type="dxa" w:w="1606"/>
            <w:vAlign w:val="center"/>
          </w:tcPr>
          <w:p>
            <w:pPr>
              <w:jc w:val="center"/>
            </w:pPr>
            <w:r>
              <w:rPr>
                <w:rFonts w:ascii="Times New Roman" w:hAnsi="Times New Roman" w:eastAsia="Times New Roman"/>
                <w:sz w:val="20"/>
              </w:rPr>
            </w:r>
            <w:r>
              <w:rPr>
                <w:rFonts w:ascii="Times New Roman" w:hAnsi="Times New Roman" w:eastAsia="Times New Roman"/>
                <w:b w:val="0"/>
                <w:sz w:val="20"/>
              </w:rPr>
              <w:t>0,344</w:t>
            </w:r>
          </w:p>
        </w:tc>
        <w:tc>
          <w:tcPr>
            <w:tcW w:type="dxa" w:w="1606"/>
            <w:vAlign w:val="center"/>
          </w:tcPr>
          <w:p>
            <w:pPr>
              <w:jc w:val="center"/>
            </w:pPr>
            <w:r>
              <w:rPr>
                <w:rFonts w:ascii="Times New Roman" w:hAnsi="Times New Roman" w:eastAsia="Times New Roman"/>
                <w:sz w:val="20"/>
              </w:rPr>
            </w:r>
            <w:r>
              <w:rPr>
                <w:rFonts w:ascii="Times New Roman" w:hAnsi="Times New Roman" w:eastAsia="Times New Roman"/>
                <w:b w:val="0"/>
                <w:sz w:val="20"/>
              </w:rPr>
              <w:t>0,463</w:t>
            </w:r>
          </w:p>
        </w:tc>
        <w:tc>
          <w:tcPr>
            <w:tcW w:type="dxa" w:w="792"/>
            <w:vAlign w:val="center"/>
          </w:tcPr>
          <w:p>
            <w:pPr>
              <w:jc w:val="center"/>
            </w:pPr>
            <w:r>
              <w:rPr>
                <w:rFonts w:ascii="Times New Roman" w:hAnsi="Times New Roman" w:eastAsia="Times New Roman"/>
                <w:sz w:val="20"/>
              </w:rPr>
            </w:r>
            <w:r>
              <w:rPr>
                <w:rFonts w:ascii="Times New Roman" w:hAnsi="Times New Roman" w:eastAsia="Times New Roman"/>
                <w:b w:val="0"/>
                <w:sz w:val="20"/>
              </w:rPr>
              <w:t>0,040</w:t>
            </w:r>
          </w:p>
        </w:tc>
        <w:tc>
          <w:tcPr>
            <w:tcW w:type="dxa" w:w="792"/>
            <w:vAlign w:val="center"/>
          </w:tcPr>
          <w:p>
            <w:pPr>
              <w:jc w:val="center"/>
            </w:pPr>
            <w:r>
              <w:rPr>
                <w:rFonts w:ascii="Times New Roman" w:hAnsi="Times New Roman" w:eastAsia="Times New Roman"/>
                <w:sz w:val="20"/>
              </w:rPr>
            </w:r>
            <w:r>
              <w:rPr>
                <w:rFonts w:ascii="Times New Roman" w:hAnsi="Times New Roman" w:eastAsia="Times New Roman"/>
                <w:b w:val="0"/>
                <w:sz w:val="20"/>
              </w:rPr>
              <w:t>0,230</w:t>
            </w:r>
          </w:p>
        </w:tc>
      </w:tr>
    </w:tbl>
    <w:p>
      <w:pPr>
        <w:spacing w:after="0" w:before="0" w:line="240" w:lineRule="auto"/>
      </w:pPr>
      <w:r>
        <w:rPr>
          <w:rFonts w:ascii="Times New Roman" w:hAnsi="Times New Roman" w:eastAsia="Times New Roman"/>
          <w:b w:val="0"/>
          <w:i w:val="0"/>
          <w:sz w:val="20"/>
        </w:rPr>
      </w:r>
    </w:p>
    <w:p>
      <w:pPr>
        <w:spacing w:after="0" w:before="0" w:line="240" w:lineRule="auto"/>
        <w:ind w:firstLine="397"/>
      </w:pPr>
      <w:r>
        <w:rPr>
          <w:rFonts w:ascii="Times New Roman" w:hAnsi="Times New Roman" w:eastAsia="Times New Roman"/>
          <w:b w:val="0"/>
          <w:i w:val="0"/>
          <w:sz w:val="20"/>
        </w:rPr>
      </w:r>
      <w:r>
        <w:rPr>
          <w:rFonts w:ascii="Times New Roman" w:hAnsi="Times New Roman" w:eastAsia="Times New Roman"/>
          <w:sz w:val="20"/>
        </w:rPr>
        <w:t>Для проверки устойчивости различий был выполнен бутстрэп-анализ на test-разбиении (n=809). Фиксированное смешивание soft-mix fixed v4 не превосходит logit-panel статистически: для F1@10 получено Δ=-0,014, 95% ДИ [-0,036; 0,005], p=0,0816; для F1@20 различие практически нулевое (Δ=-0,00007, p=0,68). По AUROC и AUPRC различия также не достигают статистической значимости. TAN-политика не показала устойчивого преимущества над TAN, обученным на uniform-признаках: финальная конфигурация дала ΔAUROC=-0,033, 95% ДИ [-0,074; 0,009], p=0,126.</w:t>
      </w:r>
    </w:p>
    <w:p>
      <w:pPr>
        <w:spacing w:after="0" w:before="0" w:line="240" w:lineRule="auto"/>
      </w:pPr>
      <w:r>
        <w:rPr>
          <w:rFonts w:ascii="Times New Roman" w:hAnsi="Times New Roman" w:eastAsia="Times New Roman"/>
          <w:b/>
          <w:i w:val="0"/>
          <w:sz w:val="20"/>
        </w:rPr>
      </w:r>
      <w:r>
        <w:rPr>
          <w:rFonts w:ascii="Times New Roman" w:hAnsi="Times New Roman" w:eastAsia="Times New Roman"/>
          <w:sz w:val="20"/>
        </w:rPr>
        <w:t>Таблица 3. Бутстрэп-проверка дополнительных политик.</w:t>
      </w:r>
    </w:p>
    <w:tbl>
      <w:tblPr>
        <w:tblW w:type="auto" w:w="0"/>
        <w:tblLayout w:type="autofit"/>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409"/>
        <w:gridCol w:w="2409"/>
        <w:gridCol w:w="2409"/>
        <w:gridCol w:w="2409"/>
        <w:gridCol w:w="1008"/>
      </w:tblGrid>
      <w:tr>
        <w:tc>
          <w:tcPr>
            <w:tcW w:type="dxa" w:w="2409"/>
            <w:vAlign w:val="center"/>
            <w:shd w:fill="D9EAF7"/>
          </w:tcPr>
          <w:p>
            <w:pPr>
              <w:jc w:val="center"/>
            </w:pPr>
            <w:r>
              <w:rPr>
                <w:rFonts w:ascii="Times New Roman" w:hAnsi="Times New Roman" w:eastAsia="Times New Roman"/>
                <w:sz w:val="20"/>
              </w:rPr>
            </w:r>
            <w:r>
              <w:rPr>
                <w:rFonts w:ascii="Times New Roman" w:hAnsi="Times New Roman" w:eastAsia="Times New Roman"/>
                <w:b/>
                <w:sz w:val="20"/>
              </w:rPr>
              <w:t>Сравнение</w:t>
            </w:r>
          </w:p>
        </w:tc>
        <w:tc>
          <w:tcPr>
            <w:tcW w:type="dxa" w:w="2409"/>
            <w:vAlign w:val="center"/>
            <w:shd w:fill="D9EAF7"/>
          </w:tcPr>
          <w:p>
            <w:pPr>
              <w:jc w:val="center"/>
            </w:pPr>
            <w:r>
              <w:rPr>
                <w:rFonts w:ascii="Times New Roman" w:hAnsi="Times New Roman" w:eastAsia="Times New Roman"/>
                <w:sz w:val="20"/>
              </w:rPr>
            </w:r>
            <w:r>
              <w:rPr>
                <w:rFonts w:ascii="Times New Roman" w:hAnsi="Times New Roman" w:eastAsia="Times New Roman"/>
                <w:b/>
                <w:sz w:val="20"/>
              </w:rPr>
              <w:t>Метрика</w:t>
            </w:r>
          </w:p>
        </w:tc>
        <w:tc>
          <w:tcPr>
            <w:tcW w:type="dxa" w:w="2409"/>
            <w:vAlign w:val="center"/>
            <w:shd w:fill="D9EAF7"/>
          </w:tcPr>
          <w:p>
            <w:pPr>
              <w:jc w:val="center"/>
            </w:pPr>
            <w:r>
              <w:rPr>
                <w:rFonts w:ascii="Times New Roman" w:hAnsi="Times New Roman" w:eastAsia="Times New Roman"/>
                <w:sz w:val="20"/>
              </w:rPr>
            </w:r>
            <w:r>
              <w:rPr>
                <w:rFonts w:ascii="Times New Roman" w:hAnsi="Times New Roman" w:eastAsia="Times New Roman"/>
                <w:b/>
                <w:sz w:val="20"/>
              </w:rPr>
              <w:t>Δ</w:t>
            </w:r>
          </w:p>
        </w:tc>
        <w:tc>
          <w:tcPr>
            <w:tcW w:type="dxa" w:w="2409"/>
            <w:vAlign w:val="center"/>
            <w:shd w:fill="D9EAF7"/>
          </w:tcPr>
          <w:p>
            <w:pPr>
              <w:jc w:val="center"/>
            </w:pPr>
            <w:r>
              <w:rPr>
                <w:rFonts w:ascii="Times New Roman" w:hAnsi="Times New Roman" w:eastAsia="Times New Roman"/>
                <w:sz w:val="20"/>
              </w:rPr>
            </w:r>
            <w:r>
              <w:rPr>
                <w:rFonts w:ascii="Times New Roman" w:hAnsi="Times New Roman" w:eastAsia="Times New Roman"/>
                <w:b/>
                <w:sz w:val="20"/>
              </w:rPr>
              <w:t>95% ДИ</w:t>
            </w:r>
          </w:p>
        </w:tc>
        <w:tc>
          <w:tcPr>
            <w:tcW w:type="dxa" w:w="1008"/>
            <w:vAlign w:val="center"/>
          </w:tcPr>
          <w:p>
            <w:pPr>
              <w:jc w:val="center"/>
            </w:pPr>
            <w:r>
              <w:rPr>
                <w:rFonts w:ascii="Times New Roman" w:hAnsi="Times New Roman" w:eastAsia="Times New Roman"/>
                <w:sz w:val="20"/>
              </w:rPr>
            </w:r>
            <w:r>
              <w:rPr>
                <w:rFonts w:ascii="Times New Roman" w:hAnsi="Times New Roman" w:eastAsia="Times New Roman"/>
                <w:b/>
                <w:sz w:val="20"/>
              </w:rPr>
              <w:t>p</w:t>
            </w:r>
          </w:p>
        </w:tc>
      </w:tr>
      <w:tr>
        <w:tc>
          <w:tcPr>
            <w:tcW w:type="dxa" w:w="2409"/>
            <w:vAlign w:val="center"/>
          </w:tcPr>
          <w:p>
            <w:pPr>
              <w:jc w:val="center"/>
            </w:pPr>
            <w:r>
              <w:rPr>
                <w:rFonts w:ascii="Times New Roman" w:hAnsi="Times New Roman" w:eastAsia="Times New Roman"/>
                <w:sz w:val="20"/>
              </w:rPr>
            </w:r>
            <w:r>
              <w:rPr>
                <w:rFonts w:ascii="Times New Roman" w:hAnsi="Times New Roman" w:eastAsia="Times New Roman"/>
                <w:b w:val="0"/>
                <w:sz w:val="20"/>
              </w:rPr>
              <w:t>soft-mix fixed v4 vs logit</w:t>
            </w:r>
          </w:p>
        </w:tc>
        <w:tc>
          <w:tcPr>
            <w:tcW w:type="dxa" w:w="2409"/>
            <w:vAlign w:val="center"/>
          </w:tcPr>
          <w:p>
            <w:pPr>
              <w:jc w:val="center"/>
            </w:pPr>
            <w:r>
              <w:rPr>
                <w:rFonts w:ascii="Times New Roman" w:hAnsi="Times New Roman" w:eastAsia="Times New Roman"/>
                <w:sz w:val="20"/>
              </w:rPr>
            </w:r>
            <w:r>
              <w:rPr>
                <w:rFonts w:ascii="Times New Roman" w:hAnsi="Times New Roman" w:eastAsia="Times New Roman"/>
                <w:b w:val="0"/>
                <w:sz w:val="20"/>
              </w:rPr>
              <w:t>F1@10</w:t>
            </w:r>
          </w:p>
        </w:tc>
        <w:tc>
          <w:tcPr>
            <w:tcW w:type="dxa" w:w="2409"/>
            <w:vAlign w:val="center"/>
          </w:tcPr>
          <w:p>
            <w:pPr>
              <w:jc w:val="center"/>
            </w:pPr>
            <w:r>
              <w:rPr>
                <w:rFonts w:ascii="Times New Roman" w:hAnsi="Times New Roman" w:eastAsia="Times New Roman"/>
                <w:sz w:val="20"/>
              </w:rPr>
            </w:r>
            <w:r>
              <w:rPr>
                <w:rFonts w:ascii="Times New Roman" w:hAnsi="Times New Roman" w:eastAsia="Times New Roman"/>
                <w:b w:val="0"/>
                <w:sz w:val="20"/>
              </w:rPr>
              <w:t>-0,014</w:t>
            </w:r>
          </w:p>
        </w:tc>
        <w:tc>
          <w:tcPr>
            <w:tcW w:type="dxa" w:w="2409"/>
            <w:vAlign w:val="center"/>
          </w:tcPr>
          <w:p>
            <w:pPr>
              <w:jc w:val="center"/>
            </w:pPr>
            <w:r>
              <w:rPr>
                <w:rFonts w:ascii="Times New Roman" w:hAnsi="Times New Roman" w:eastAsia="Times New Roman"/>
                <w:sz w:val="20"/>
              </w:rPr>
            </w:r>
            <w:r>
              <w:rPr>
                <w:rFonts w:ascii="Times New Roman" w:hAnsi="Times New Roman" w:eastAsia="Times New Roman"/>
                <w:b w:val="0"/>
                <w:sz w:val="20"/>
              </w:rPr>
              <w:t>[-0,036; 0,005]</w:t>
            </w:r>
          </w:p>
        </w:tc>
        <w:tc>
          <w:tcPr>
            <w:tcW w:type="dxa" w:w="1008"/>
            <w:vAlign w:val="center"/>
          </w:tcPr>
          <w:p>
            <w:pPr>
              <w:jc w:val="center"/>
            </w:pPr>
            <w:r>
              <w:rPr>
                <w:rFonts w:ascii="Times New Roman" w:hAnsi="Times New Roman" w:eastAsia="Times New Roman"/>
                <w:sz w:val="20"/>
              </w:rPr>
            </w:r>
            <w:r>
              <w:rPr>
                <w:rFonts w:ascii="Times New Roman" w:hAnsi="Times New Roman" w:eastAsia="Times New Roman"/>
                <w:b w:val="0"/>
                <w:sz w:val="20"/>
              </w:rPr>
              <w:t>0,0816</w:t>
            </w:r>
          </w:p>
        </w:tc>
      </w:tr>
      <w:tr>
        <w:tc>
          <w:tcPr>
            <w:tcW w:type="dxa" w:w="2409"/>
            <w:vAlign w:val="center"/>
          </w:tcPr>
          <w:p>
            <w:pPr>
              <w:jc w:val="center"/>
            </w:pPr>
            <w:r>
              <w:rPr>
                <w:rFonts w:ascii="Times New Roman" w:hAnsi="Times New Roman" w:eastAsia="Times New Roman"/>
                <w:sz w:val="20"/>
              </w:rPr>
            </w:r>
            <w:r>
              <w:rPr>
                <w:rFonts w:ascii="Times New Roman" w:hAnsi="Times New Roman" w:eastAsia="Times New Roman"/>
                <w:b w:val="0"/>
                <w:sz w:val="20"/>
              </w:rPr>
              <w:t>soft-mix fixed v4 vs logit</w:t>
            </w:r>
          </w:p>
        </w:tc>
        <w:tc>
          <w:tcPr>
            <w:tcW w:type="dxa" w:w="2409"/>
            <w:vAlign w:val="center"/>
          </w:tcPr>
          <w:p>
            <w:pPr>
              <w:jc w:val="center"/>
            </w:pPr>
            <w:r>
              <w:rPr>
                <w:rFonts w:ascii="Times New Roman" w:hAnsi="Times New Roman" w:eastAsia="Times New Roman"/>
                <w:sz w:val="20"/>
              </w:rPr>
            </w:r>
            <w:r>
              <w:rPr>
                <w:rFonts w:ascii="Times New Roman" w:hAnsi="Times New Roman" w:eastAsia="Times New Roman"/>
                <w:b w:val="0"/>
                <w:sz w:val="20"/>
              </w:rPr>
              <w:t>F1@20</w:t>
            </w:r>
          </w:p>
        </w:tc>
        <w:tc>
          <w:tcPr>
            <w:tcW w:type="dxa" w:w="2409"/>
            <w:vAlign w:val="center"/>
          </w:tcPr>
          <w:p>
            <w:pPr>
              <w:jc w:val="center"/>
            </w:pPr>
            <w:r>
              <w:rPr>
                <w:rFonts w:ascii="Times New Roman" w:hAnsi="Times New Roman" w:eastAsia="Times New Roman"/>
                <w:sz w:val="20"/>
              </w:rPr>
            </w:r>
            <w:r>
              <w:rPr>
                <w:rFonts w:ascii="Times New Roman" w:hAnsi="Times New Roman" w:eastAsia="Times New Roman"/>
                <w:b w:val="0"/>
                <w:sz w:val="20"/>
              </w:rPr>
              <w:t>-0,00007</w:t>
            </w:r>
          </w:p>
        </w:tc>
        <w:tc>
          <w:tcPr>
            <w:tcW w:type="dxa" w:w="2409"/>
            <w:vAlign w:val="center"/>
          </w:tcPr>
          <w:p>
            <w:pPr>
              <w:jc w:val="center"/>
            </w:pPr>
            <w:r>
              <w:rPr>
                <w:rFonts w:ascii="Times New Roman" w:hAnsi="Times New Roman" w:eastAsia="Times New Roman"/>
                <w:sz w:val="20"/>
              </w:rPr>
            </w:r>
            <w:r>
              <w:rPr>
                <w:rFonts w:ascii="Times New Roman" w:hAnsi="Times New Roman" w:eastAsia="Times New Roman"/>
                <w:b w:val="0"/>
                <w:sz w:val="20"/>
              </w:rPr>
              <w:t>[-0,013; 0,017]</w:t>
            </w:r>
          </w:p>
        </w:tc>
        <w:tc>
          <w:tcPr>
            <w:tcW w:type="dxa" w:w="1008"/>
            <w:vAlign w:val="center"/>
          </w:tcPr>
          <w:p>
            <w:pPr>
              <w:jc w:val="center"/>
            </w:pPr>
            <w:r>
              <w:rPr>
                <w:rFonts w:ascii="Times New Roman" w:hAnsi="Times New Roman" w:eastAsia="Times New Roman"/>
                <w:sz w:val="20"/>
              </w:rPr>
            </w:r>
            <w:r>
              <w:rPr>
                <w:rFonts w:ascii="Times New Roman" w:hAnsi="Times New Roman" w:eastAsia="Times New Roman"/>
                <w:b w:val="0"/>
                <w:sz w:val="20"/>
              </w:rPr>
              <w:t>0,68</w:t>
            </w:r>
          </w:p>
        </w:tc>
      </w:tr>
      <w:tr>
        <w:tc>
          <w:tcPr>
            <w:tcW w:type="dxa" w:w="2409"/>
            <w:vAlign w:val="center"/>
          </w:tcPr>
          <w:p>
            <w:pPr>
              <w:jc w:val="center"/>
            </w:pPr>
            <w:r>
              <w:rPr>
                <w:rFonts w:ascii="Times New Roman" w:hAnsi="Times New Roman" w:eastAsia="Times New Roman"/>
                <w:sz w:val="20"/>
              </w:rPr>
            </w:r>
            <w:r>
              <w:rPr>
                <w:rFonts w:ascii="Times New Roman" w:hAnsi="Times New Roman" w:eastAsia="Times New Roman"/>
                <w:b w:val="0"/>
                <w:sz w:val="20"/>
              </w:rPr>
              <w:t>soft-mix adaptive v4 vs logit</w:t>
            </w:r>
          </w:p>
        </w:tc>
        <w:tc>
          <w:tcPr>
            <w:tcW w:type="dxa" w:w="2409"/>
            <w:vAlign w:val="center"/>
          </w:tcPr>
          <w:p>
            <w:pPr>
              <w:jc w:val="center"/>
            </w:pPr>
            <w:r>
              <w:rPr>
                <w:rFonts w:ascii="Times New Roman" w:hAnsi="Times New Roman" w:eastAsia="Times New Roman"/>
                <w:sz w:val="20"/>
              </w:rPr>
            </w:r>
            <w:r>
              <w:rPr>
                <w:rFonts w:ascii="Times New Roman" w:hAnsi="Times New Roman" w:eastAsia="Times New Roman"/>
                <w:b w:val="0"/>
                <w:sz w:val="20"/>
              </w:rPr>
              <w:t>F1@10</w:t>
            </w:r>
          </w:p>
        </w:tc>
        <w:tc>
          <w:tcPr>
            <w:tcW w:type="dxa" w:w="2409"/>
            <w:vAlign w:val="center"/>
          </w:tcPr>
          <w:p>
            <w:pPr>
              <w:jc w:val="center"/>
            </w:pPr>
            <w:r>
              <w:rPr>
                <w:rFonts w:ascii="Times New Roman" w:hAnsi="Times New Roman" w:eastAsia="Times New Roman"/>
                <w:sz w:val="20"/>
              </w:rPr>
            </w:r>
            <w:r>
              <w:rPr>
                <w:rFonts w:ascii="Times New Roman" w:hAnsi="Times New Roman" w:eastAsia="Times New Roman"/>
                <w:b w:val="0"/>
                <w:sz w:val="20"/>
              </w:rPr>
              <w:t>-0,048</w:t>
            </w:r>
          </w:p>
        </w:tc>
        <w:tc>
          <w:tcPr>
            <w:tcW w:type="dxa" w:w="2409"/>
            <w:vAlign w:val="center"/>
          </w:tcPr>
          <w:p>
            <w:pPr>
              <w:jc w:val="center"/>
            </w:pPr>
            <w:r>
              <w:rPr>
                <w:rFonts w:ascii="Times New Roman" w:hAnsi="Times New Roman" w:eastAsia="Times New Roman"/>
                <w:sz w:val="20"/>
              </w:rPr>
            </w:r>
            <w:r>
              <w:rPr>
                <w:rFonts w:ascii="Times New Roman" w:hAnsi="Times New Roman" w:eastAsia="Times New Roman"/>
                <w:b w:val="0"/>
                <w:sz w:val="20"/>
              </w:rPr>
              <w:t>[-0,088; -0,010]</w:t>
            </w:r>
          </w:p>
        </w:tc>
        <w:tc>
          <w:tcPr>
            <w:tcW w:type="dxa" w:w="1008"/>
            <w:vAlign w:val="center"/>
          </w:tcPr>
          <w:p>
            <w:pPr>
              <w:jc w:val="center"/>
            </w:pPr>
            <w:r>
              <w:rPr>
                <w:rFonts w:ascii="Times New Roman" w:hAnsi="Times New Roman" w:eastAsia="Times New Roman"/>
                <w:sz w:val="20"/>
              </w:rPr>
            </w:r>
            <w:r>
              <w:rPr>
                <w:rFonts w:ascii="Times New Roman" w:hAnsi="Times New Roman" w:eastAsia="Times New Roman"/>
                <w:b w:val="0"/>
                <w:sz w:val="20"/>
              </w:rPr>
              <w:t>0,0096</w:t>
            </w:r>
          </w:p>
        </w:tc>
      </w:tr>
      <w:tr>
        <w:tc>
          <w:tcPr>
            <w:tcW w:type="dxa" w:w="2409"/>
            <w:vAlign w:val="center"/>
          </w:tcPr>
          <w:p>
            <w:pPr>
              <w:jc w:val="center"/>
            </w:pPr>
            <w:r>
              <w:rPr>
                <w:rFonts w:ascii="Times New Roman" w:hAnsi="Times New Roman" w:eastAsia="Times New Roman"/>
                <w:sz w:val="20"/>
              </w:rPr>
            </w:r>
            <w:r>
              <w:rPr>
                <w:rFonts w:ascii="Times New Roman" w:hAnsi="Times New Roman" w:eastAsia="Times New Roman"/>
                <w:b w:val="0"/>
                <w:sz w:val="20"/>
              </w:rPr>
              <w:t>TAN BEACON vs Uniform</w:t>
            </w:r>
          </w:p>
        </w:tc>
        <w:tc>
          <w:tcPr>
            <w:tcW w:type="dxa" w:w="2409"/>
            <w:vAlign w:val="center"/>
          </w:tcPr>
          <w:p>
            <w:pPr>
              <w:jc w:val="center"/>
            </w:pPr>
            <w:r>
              <w:rPr>
                <w:rFonts w:ascii="Times New Roman" w:hAnsi="Times New Roman" w:eastAsia="Times New Roman"/>
                <w:sz w:val="20"/>
              </w:rPr>
            </w:r>
            <w:r>
              <w:rPr>
                <w:rFonts w:ascii="Times New Roman" w:hAnsi="Times New Roman" w:eastAsia="Times New Roman"/>
                <w:b w:val="0"/>
                <w:sz w:val="20"/>
              </w:rPr>
              <w:t>AUROC</w:t>
            </w:r>
          </w:p>
        </w:tc>
        <w:tc>
          <w:tcPr>
            <w:tcW w:type="dxa" w:w="2409"/>
            <w:vAlign w:val="center"/>
          </w:tcPr>
          <w:p>
            <w:pPr>
              <w:jc w:val="center"/>
            </w:pPr>
            <w:r>
              <w:rPr>
                <w:rFonts w:ascii="Times New Roman" w:hAnsi="Times New Roman" w:eastAsia="Times New Roman"/>
                <w:sz w:val="20"/>
              </w:rPr>
            </w:r>
            <w:r>
              <w:rPr>
                <w:rFonts w:ascii="Times New Roman" w:hAnsi="Times New Roman" w:eastAsia="Times New Roman"/>
                <w:b w:val="0"/>
                <w:sz w:val="20"/>
              </w:rPr>
              <w:t>-0,033</w:t>
            </w:r>
          </w:p>
        </w:tc>
        <w:tc>
          <w:tcPr>
            <w:tcW w:type="dxa" w:w="2409"/>
            <w:vAlign w:val="center"/>
          </w:tcPr>
          <w:p>
            <w:pPr>
              <w:jc w:val="center"/>
            </w:pPr>
            <w:r>
              <w:rPr>
                <w:rFonts w:ascii="Times New Roman" w:hAnsi="Times New Roman" w:eastAsia="Times New Roman"/>
                <w:sz w:val="20"/>
              </w:rPr>
            </w:r>
            <w:r>
              <w:rPr>
                <w:rFonts w:ascii="Times New Roman" w:hAnsi="Times New Roman" w:eastAsia="Times New Roman"/>
                <w:b w:val="0"/>
                <w:sz w:val="20"/>
              </w:rPr>
              <w:t>[-0,074; 0,009]</w:t>
            </w:r>
          </w:p>
        </w:tc>
        <w:tc>
          <w:tcPr>
            <w:tcW w:type="dxa" w:w="1008"/>
            <w:vAlign w:val="center"/>
          </w:tcPr>
          <w:p>
            <w:pPr>
              <w:jc w:val="center"/>
            </w:pPr>
            <w:r>
              <w:rPr>
                <w:rFonts w:ascii="Times New Roman" w:hAnsi="Times New Roman" w:eastAsia="Times New Roman"/>
                <w:sz w:val="20"/>
              </w:rPr>
            </w:r>
            <w:r>
              <w:rPr>
                <w:rFonts w:ascii="Times New Roman" w:hAnsi="Times New Roman" w:eastAsia="Times New Roman"/>
                <w:b w:val="0"/>
                <w:sz w:val="20"/>
              </w:rPr>
              <w:t>0,126</w:t>
            </w:r>
          </w:p>
        </w:tc>
      </w:tr>
      <w:tr>
        <w:tc>
          <w:tcPr>
            <w:tcW w:type="dxa" w:w="2409"/>
            <w:vAlign w:val="center"/>
          </w:tcPr>
          <w:p>
            <w:pPr>
              <w:jc w:val="center"/>
            </w:pPr>
            <w:r>
              <w:rPr>
                <w:rFonts w:ascii="Times New Roman" w:hAnsi="Times New Roman" w:eastAsia="Times New Roman"/>
                <w:sz w:val="20"/>
              </w:rPr>
            </w:r>
            <w:r>
              <w:rPr>
                <w:rFonts w:ascii="Times New Roman" w:hAnsi="Times New Roman" w:eastAsia="Times New Roman"/>
                <w:b w:val="0"/>
                <w:sz w:val="20"/>
              </w:rPr>
              <w:t>fuzzy-gate logit vs panel</w:t>
            </w:r>
          </w:p>
        </w:tc>
        <w:tc>
          <w:tcPr>
            <w:tcW w:type="dxa" w:w="2409"/>
            <w:vAlign w:val="center"/>
          </w:tcPr>
          <w:p>
            <w:pPr>
              <w:jc w:val="center"/>
            </w:pPr>
            <w:r>
              <w:rPr>
                <w:rFonts w:ascii="Times New Roman" w:hAnsi="Times New Roman" w:eastAsia="Times New Roman"/>
                <w:sz w:val="20"/>
              </w:rPr>
            </w:r>
            <w:r>
              <w:rPr>
                <w:rFonts w:ascii="Times New Roman" w:hAnsi="Times New Roman" w:eastAsia="Times New Roman"/>
                <w:b w:val="0"/>
                <w:sz w:val="20"/>
              </w:rPr>
              <w:t>AUROC</w:t>
            </w:r>
          </w:p>
        </w:tc>
        <w:tc>
          <w:tcPr>
            <w:tcW w:type="dxa" w:w="2409"/>
            <w:vAlign w:val="center"/>
          </w:tcPr>
          <w:p>
            <w:pPr>
              <w:jc w:val="center"/>
            </w:pPr>
            <w:r>
              <w:rPr>
                <w:rFonts w:ascii="Times New Roman" w:hAnsi="Times New Roman" w:eastAsia="Times New Roman"/>
                <w:sz w:val="20"/>
              </w:rPr>
            </w:r>
            <w:r>
              <w:rPr>
                <w:rFonts w:ascii="Times New Roman" w:hAnsi="Times New Roman" w:eastAsia="Times New Roman"/>
                <w:b w:val="0"/>
                <w:sz w:val="20"/>
              </w:rPr>
              <w:t>-0,050</w:t>
            </w:r>
          </w:p>
        </w:tc>
        <w:tc>
          <w:tcPr>
            <w:tcW w:type="dxa" w:w="2409"/>
            <w:vAlign w:val="center"/>
          </w:tcPr>
          <w:p>
            <w:pPr>
              <w:jc w:val="center"/>
            </w:pPr>
            <w:r>
              <w:rPr>
                <w:rFonts w:ascii="Times New Roman" w:hAnsi="Times New Roman" w:eastAsia="Times New Roman"/>
                <w:sz w:val="20"/>
              </w:rPr>
            </w:r>
            <w:r>
              <w:rPr>
                <w:rFonts w:ascii="Times New Roman" w:hAnsi="Times New Roman" w:eastAsia="Times New Roman"/>
                <w:b w:val="0"/>
                <w:sz w:val="20"/>
              </w:rPr>
              <w:t>[-0,081; -0,019]</w:t>
            </w:r>
          </w:p>
        </w:tc>
        <w:tc>
          <w:tcPr>
            <w:tcW w:type="dxa" w:w="1008"/>
            <w:vAlign w:val="center"/>
          </w:tcPr>
          <w:p>
            <w:pPr>
              <w:jc w:val="center"/>
            </w:pPr>
            <w:r>
              <w:rPr>
                <w:rFonts w:ascii="Times New Roman" w:hAnsi="Times New Roman" w:eastAsia="Times New Roman"/>
                <w:sz w:val="20"/>
              </w:rPr>
            </w:r>
            <w:r>
              <w:rPr>
                <w:rFonts w:ascii="Times New Roman" w:hAnsi="Times New Roman" w:eastAsia="Times New Roman"/>
                <w:b w:val="0"/>
                <w:sz w:val="20"/>
              </w:rPr>
              <w:t>0,000</w:t>
            </w:r>
          </w:p>
        </w:tc>
      </w:tr>
    </w:tbl>
    <w:p>
      <w:pPr>
        <w:spacing w:after="0" w:before="0" w:line="240" w:lineRule="auto"/>
      </w:pPr>
      <w:r>
        <w:rPr>
          <w:rFonts w:ascii="Times New Roman" w:hAnsi="Times New Roman" w:eastAsia="Times New Roman"/>
          <w:b w:val="0"/>
          <w:i w:val="0"/>
          <w:sz w:val="20"/>
        </w:rPr>
      </w:r>
    </w:p>
    <w:p>
      <w:pPr>
        <w:spacing w:after="0" w:before="0" w:line="240" w:lineRule="auto"/>
        <w:ind w:firstLine="397"/>
      </w:pPr>
      <w:r>
        <w:rPr>
          <w:rFonts w:ascii="Times New Roman" w:hAnsi="Times New Roman" w:eastAsia="Times New Roman"/>
          <w:b w:val="0"/>
          <w:i w:val="0"/>
          <w:sz w:val="20"/>
        </w:rPr>
      </w:r>
      <w:r>
        <w:rPr>
          <w:rFonts w:ascii="Times New Roman" w:hAnsi="Times New Roman" w:eastAsia="Times New Roman"/>
          <w:sz w:val="20"/>
        </w:rPr>
        <w:t>Адаптивное смешивание soft-mix adaptive v4, где вес между fuzzy и logit подбирается отдельной моделью, оказалось хуже как logit-panel, так и фиксированного смешивания. Для F1@10 относительно logit-panel получено Δ=-0,048, 95% ДИ [-0,088; -0,010], p=0,0096, а для precision@10 — Δ=-0,115, p=0,0088. Поэтому adaptive-вариант не включается в основной набор рекомендуемых политик и рассматривается как отрицательный результат. Гибридные fuzzy-gate схемы также не дали выигрыша и ухудшили panel по AUROC.</w:t>
      </w:r>
    </w:p>
    <w:p>
      <w:pPr>
        <w:spacing w:after="0" w:before="0" w:line="240" w:lineRule="auto"/>
        <w:ind w:firstLine="397"/>
      </w:pPr>
      <w:r>
        <w:rPr>
          <w:rFonts w:ascii="Times New Roman" w:hAnsi="Times New Roman" w:eastAsia="Times New Roman"/>
          <w:b w:val="0"/>
          <w:i w:val="0"/>
          <w:sz w:val="20"/>
        </w:rPr>
      </w:r>
      <w:r>
        <w:rPr>
          <w:rFonts w:ascii="Times New Roman" w:hAnsi="Times New Roman" w:eastAsia="Times New Roman"/>
          <w:sz w:val="20"/>
        </w:rPr>
        <w:t>Для оценки применимости диагностического слоя в ресурсно-ограниченных условиях была выполнена симуляционная оценка TinyXAI-ресурсов. Оценивался не полный цикл классификации и не весь BEACON-аудит, а только слой h(a(x)), который преобразует уже полученный компактный BEACON-вектор в риск-скор. Такой слой является естественным кандидатом для переноса в TinyML-среду, поскольку состоит из малого числа признаков, правил и арифметических операций.</w:t>
      </w:r>
    </w:p>
    <w:p>
      <w:pPr>
        <w:spacing w:after="0" w:before="0" w:line="240" w:lineRule="auto"/>
      </w:pPr>
      <w:r>
        <w:rPr>
          <w:rFonts w:ascii="Times New Roman" w:hAnsi="Times New Roman" w:eastAsia="Times New Roman"/>
          <w:b/>
          <w:i w:val="0"/>
          <w:sz w:val="20"/>
        </w:rPr>
      </w:r>
      <w:r>
        <w:rPr>
          <w:rFonts w:ascii="Times New Roman" w:hAnsi="Times New Roman" w:eastAsia="Times New Roman"/>
          <w:sz w:val="20"/>
        </w:rPr>
        <w:t>Таблица 4. Симуляционная оценка ресурсов диагностического слоя h(a(x)).</w:t>
      </w:r>
    </w:p>
    <w:tbl>
      <w:tblPr>
        <w:tblW w:type="auto" w:w="0"/>
        <w:tblLayout w:type="autofit"/>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409"/>
        <w:gridCol w:w="2409"/>
        <w:gridCol w:w="2409"/>
        <w:gridCol w:w="2409"/>
        <w:gridCol w:w="864"/>
        <w:gridCol w:w="864"/>
      </w:tblGrid>
      <w:tr>
        <w:tc>
          <w:tcPr>
            <w:tcW w:type="dxa" w:w="2409"/>
            <w:vAlign w:val="center"/>
            <w:shd w:fill="D9EAF7"/>
          </w:tcPr>
          <w:p>
            <w:pPr>
              <w:jc w:val="center"/>
            </w:pPr>
            <w:r>
              <w:rPr>
                <w:rFonts w:ascii="Times New Roman" w:hAnsi="Times New Roman" w:eastAsia="Times New Roman"/>
                <w:sz w:val="20"/>
              </w:rPr>
            </w:r>
            <w:r>
              <w:rPr>
                <w:rFonts w:ascii="Times New Roman" w:hAnsi="Times New Roman" w:eastAsia="Times New Roman"/>
                <w:b/>
                <w:sz w:val="20"/>
              </w:rPr>
              <w:t>Политика</w:t>
            </w:r>
          </w:p>
        </w:tc>
        <w:tc>
          <w:tcPr>
            <w:tcW w:type="dxa" w:w="2409"/>
            <w:vAlign w:val="center"/>
            <w:shd w:fill="D9EAF7"/>
          </w:tcPr>
          <w:p>
            <w:pPr>
              <w:jc w:val="center"/>
            </w:pPr>
            <w:r>
              <w:rPr>
                <w:rFonts w:ascii="Times New Roman" w:hAnsi="Times New Roman" w:eastAsia="Times New Roman"/>
                <w:sz w:val="20"/>
              </w:rPr>
            </w:r>
            <w:r>
              <w:rPr>
                <w:rFonts w:ascii="Times New Roman" w:hAnsi="Times New Roman" w:eastAsia="Times New Roman"/>
                <w:b/>
                <w:sz w:val="20"/>
              </w:rPr>
              <w:t>RAM, байт</w:t>
            </w:r>
          </w:p>
        </w:tc>
        <w:tc>
          <w:tcPr>
            <w:tcW w:type="dxa" w:w="2409"/>
            <w:vAlign w:val="center"/>
            <w:shd w:fill="D9EAF7"/>
          </w:tcPr>
          <w:p>
            <w:pPr>
              <w:jc w:val="center"/>
            </w:pPr>
            <w:r>
              <w:rPr>
                <w:rFonts w:ascii="Times New Roman" w:hAnsi="Times New Roman" w:eastAsia="Times New Roman"/>
                <w:sz w:val="20"/>
              </w:rPr>
            </w:r>
            <w:r>
              <w:rPr>
                <w:rFonts w:ascii="Times New Roman" w:hAnsi="Times New Roman" w:eastAsia="Times New Roman"/>
                <w:b/>
                <w:sz w:val="20"/>
              </w:rPr>
              <w:t>Flash, байт</w:t>
            </w:r>
          </w:p>
        </w:tc>
        <w:tc>
          <w:tcPr>
            <w:tcW w:type="dxa" w:w="2409"/>
            <w:vAlign w:val="center"/>
            <w:shd w:fill="D9EAF7"/>
          </w:tcPr>
          <w:p>
            <w:pPr>
              <w:jc w:val="center"/>
            </w:pPr>
            <w:r>
              <w:rPr>
                <w:rFonts w:ascii="Times New Roman" w:hAnsi="Times New Roman" w:eastAsia="Times New Roman"/>
                <w:sz w:val="20"/>
              </w:rPr>
            </w:r>
            <w:r>
              <w:rPr>
                <w:rFonts w:ascii="Times New Roman" w:hAnsi="Times New Roman" w:eastAsia="Times New Roman"/>
                <w:b/>
                <w:sz w:val="20"/>
              </w:rPr>
              <w:t>Такты</w:t>
            </w:r>
          </w:p>
        </w:tc>
        <w:tc>
          <w:tcPr>
            <w:tcW w:type="dxa" w:w="864"/>
            <w:vAlign w:val="center"/>
          </w:tcPr>
          <w:p>
            <w:pPr>
              <w:jc w:val="center"/>
            </w:pPr>
            <w:r>
              <w:rPr>
                <w:rFonts w:ascii="Times New Roman" w:hAnsi="Times New Roman" w:eastAsia="Times New Roman"/>
                <w:sz w:val="20"/>
              </w:rPr>
            </w:r>
            <w:r>
              <w:rPr>
                <w:rFonts w:ascii="Times New Roman" w:hAnsi="Times New Roman" w:eastAsia="Times New Roman"/>
                <w:b/>
                <w:sz w:val="20"/>
              </w:rPr>
              <w:t>Время, мкс</w:t>
            </w:r>
          </w:p>
        </w:tc>
        <w:tc>
          <w:tcPr>
            <w:tcW w:type="dxa" w:w="864"/>
            <w:vAlign w:val="center"/>
          </w:tcPr>
          <w:p>
            <w:pPr>
              <w:jc w:val="center"/>
            </w:pPr>
            <w:r>
              <w:rPr>
                <w:rFonts w:ascii="Times New Roman" w:hAnsi="Times New Roman" w:eastAsia="Times New Roman"/>
                <w:sz w:val="20"/>
              </w:rPr>
            </w:r>
            <w:r>
              <w:rPr>
                <w:rFonts w:ascii="Times New Roman" w:hAnsi="Times New Roman" w:eastAsia="Times New Roman"/>
                <w:b/>
                <w:sz w:val="20"/>
              </w:rPr>
              <w:t>Энергия, мкДж</w:t>
            </w:r>
          </w:p>
        </w:tc>
      </w:tr>
      <w:tr>
        <w:tc>
          <w:tcPr>
            <w:tcW w:type="dxa" w:w="2409"/>
            <w:vAlign w:val="center"/>
          </w:tcPr>
          <w:p>
            <w:pPr>
              <w:jc w:val="center"/>
            </w:pPr>
            <w:r>
              <w:rPr>
                <w:rFonts w:ascii="Times New Roman" w:hAnsi="Times New Roman" w:eastAsia="Times New Roman"/>
                <w:sz w:val="20"/>
              </w:rPr>
            </w:r>
            <w:r>
              <w:rPr>
                <w:rFonts w:ascii="Times New Roman" w:hAnsi="Times New Roman" w:eastAsia="Times New Roman"/>
                <w:b w:val="0"/>
                <w:sz w:val="20"/>
              </w:rPr>
              <w:t>scalar</w:t>
            </w:r>
          </w:p>
        </w:tc>
        <w:tc>
          <w:tcPr>
            <w:tcW w:type="dxa" w:w="2409"/>
            <w:vAlign w:val="center"/>
          </w:tcPr>
          <w:p>
            <w:pPr>
              <w:jc w:val="center"/>
            </w:pPr>
            <w:r>
              <w:rPr>
                <w:rFonts w:ascii="Times New Roman" w:hAnsi="Times New Roman" w:eastAsia="Times New Roman"/>
                <w:sz w:val="20"/>
              </w:rPr>
            </w:r>
            <w:r>
              <w:rPr>
                <w:rFonts w:ascii="Times New Roman" w:hAnsi="Times New Roman" w:eastAsia="Times New Roman"/>
                <w:b w:val="0"/>
                <w:sz w:val="20"/>
              </w:rPr>
              <w:t>36</w:t>
            </w:r>
          </w:p>
        </w:tc>
        <w:tc>
          <w:tcPr>
            <w:tcW w:type="dxa" w:w="2409"/>
            <w:vAlign w:val="center"/>
          </w:tcPr>
          <w:p>
            <w:pPr>
              <w:jc w:val="center"/>
            </w:pPr>
            <w:r>
              <w:rPr>
                <w:rFonts w:ascii="Times New Roman" w:hAnsi="Times New Roman" w:eastAsia="Times New Roman"/>
                <w:sz w:val="20"/>
              </w:rPr>
            </w:r>
            <w:r>
              <w:rPr>
                <w:rFonts w:ascii="Times New Roman" w:hAnsi="Times New Roman" w:eastAsia="Times New Roman"/>
                <w:b w:val="0"/>
                <w:sz w:val="20"/>
              </w:rPr>
              <w:t>516</w:t>
            </w:r>
          </w:p>
        </w:tc>
        <w:tc>
          <w:tcPr>
            <w:tcW w:type="dxa" w:w="2409"/>
            <w:vAlign w:val="center"/>
          </w:tcPr>
          <w:p>
            <w:pPr>
              <w:jc w:val="center"/>
            </w:pPr>
            <w:r>
              <w:rPr>
                <w:rFonts w:ascii="Times New Roman" w:hAnsi="Times New Roman" w:eastAsia="Times New Roman"/>
                <w:sz w:val="20"/>
              </w:rPr>
            </w:r>
            <w:r>
              <w:rPr>
                <w:rFonts w:ascii="Times New Roman" w:hAnsi="Times New Roman" w:eastAsia="Times New Roman"/>
                <w:b w:val="0"/>
                <w:sz w:val="20"/>
              </w:rPr>
              <w:t>22</w:t>
            </w:r>
          </w:p>
        </w:tc>
        <w:tc>
          <w:tcPr>
            <w:tcW w:type="dxa" w:w="864"/>
            <w:vAlign w:val="center"/>
          </w:tcPr>
          <w:p>
            <w:pPr>
              <w:jc w:val="center"/>
            </w:pPr>
            <w:r>
              <w:rPr>
                <w:rFonts w:ascii="Times New Roman" w:hAnsi="Times New Roman" w:eastAsia="Times New Roman"/>
                <w:sz w:val="20"/>
              </w:rPr>
            </w:r>
            <w:r>
              <w:rPr>
                <w:rFonts w:ascii="Times New Roman" w:hAnsi="Times New Roman" w:eastAsia="Times New Roman"/>
                <w:b w:val="0"/>
                <w:sz w:val="20"/>
              </w:rPr>
              <w:t>0,46</w:t>
            </w:r>
          </w:p>
        </w:tc>
        <w:tc>
          <w:tcPr>
            <w:tcW w:type="dxa" w:w="864"/>
            <w:vAlign w:val="center"/>
          </w:tcPr>
          <w:p>
            <w:pPr>
              <w:jc w:val="center"/>
            </w:pPr>
            <w:r>
              <w:rPr>
                <w:rFonts w:ascii="Times New Roman" w:hAnsi="Times New Roman" w:eastAsia="Times New Roman"/>
                <w:sz w:val="20"/>
              </w:rPr>
            </w:r>
            <w:r>
              <w:rPr>
                <w:rFonts w:ascii="Times New Roman" w:hAnsi="Times New Roman" w:eastAsia="Times New Roman"/>
                <w:b w:val="0"/>
                <w:sz w:val="20"/>
              </w:rPr>
              <w:t>0,008</w:t>
            </w:r>
          </w:p>
        </w:tc>
      </w:tr>
      <w:tr>
        <w:tc>
          <w:tcPr>
            <w:tcW w:type="dxa" w:w="2409"/>
            <w:vAlign w:val="center"/>
          </w:tcPr>
          <w:p>
            <w:pPr>
              <w:jc w:val="center"/>
            </w:pPr>
            <w:r>
              <w:rPr>
                <w:rFonts w:ascii="Times New Roman" w:hAnsi="Times New Roman" w:eastAsia="Times New Roman"/>
                <w:sz w:val="20"/>
              </w:rPr>
            </w:r>
            <w:r>
              <w:rPr>
                <w:rFonts w:ascii="Times New Roman" w:hAnsi="Times New Roman" w:eastAsia="Times New Roman"/>
                <w:b w:val="0"/>
                <w:sz w:val="20"/>
              </w:rPr>
              <w:t>logit-panel</w:t>
            </w:r>
          </w:p>
        </w:tc>
        <w:tc>
          <w:tcPr>
            <w:tcW w:type="dxa" w:w="2409"/>
            <w:vAlign w:val="center"/>
          </w:tcPr>
          <w:p>
            <w:pPr>
              <w:jc w:val="center"/>
            </w:pPr>
            <w:r>
              <w:rPr>
                <w:rFonts w:ascii="Times New Roman" w:hAnsi="Times New Roman" w:eastAsia="Times New Roman"/>
                <w:sz w:val="20"/>
              </w:rPr>
            </w:r>
            <w:r>
              <w:rPr>
                <w:rFonts w:ascii="Times New Roman" w:hAnsi="Times New Roman" w:eastAsia="Times New Roman"/>
                <w:b w:val="0"/>
                <w:sz w:val="20"/>
              </w:rPr>
              <w:t>92</w:t>
            </w:r>
          </w:p>
        </w:tc>
        <w:tc>
          <w:tcPr>
            <w:tcW w:type="dxa" w:w="2409"/>
            <w:vAlign w:val="center"/>
          </w:tcPr>
          <w:p>
            <w:pPr>
              <w:jc w:val="center"/>
            </w:pPr>
            <w:r>
              <w:rPr>
                <w:rFonts w:ascii="Times New Roman" w:hAnsi="Times New Roman" w:eastAsia="Times New Roman"/>
                <w:sz w:val="20"/>
              </w:rPr>
            </w:r>
            <w:r>
              <w:rPr>
                <w:rFonts w:ascii="Times New Roman" w:hAnsi="Times New Roman" w:eastAsia="Times New Roman"/>
                <w:b w:val="0"/>
                <w:sz w:val="20"/>
              </w:rPr>
              <w:t>1228</w:t>
            </w:r>
          </w:p>
        </w:tc>
        <w:tc>
          <w:tcPr>
            <w:tcW w:type="dxa" w:w="2409"/>
            <w:vAlign w:val="center"/>
          </w:tcPr>
          <w:p>
            <w:pPr>
              <w:jc w:val="center"/>
            </w:pPr>
            <w:r>
              <w:rPr>
                <w:rFonts w:ascii="Times New Roman" w:hAnsi="Times New Roman" w:eastAsia="Times New Roman"/>
                <w:sz w:val="20"/>
              </w:rPr>
            </w:r>
            <w:r>
              <w:rPr>
                <w:rFonts w:ascii="Times New Roman" w:hAnsi="Times New Roman" w:eastAsia="Times New Roman"/>
                <w:b w:val="0"/>
                <w:sz w:val="20"/>
              </w:rPr>
              <w:t>40</w:t>
            </w:r>
          </w:p>
        </w:tc>
        <w:tc>
          <w:tcPr>
            <w:tcW w:type="dxa" w:w="864"/>
            <w:vAlign w:val="center"/>
          </w:tcPr>
          <w:p>
            <w:pPr>
              <w:jc w:val="center"/>
            </w:pPr>
            <w:r>
              <w:rPr>
                <w:rFonts w:ascii="Times New Roman" w:hAnsi="Times New Roman" w:eastAsia="Times New Roman"/>
                <w:sz w:val="20"/>
              </w:rPr>
            </w:r>
            <w:r>
              <w:rPr>
                <w:rFonts w:ascii="Times New Roman" w:hAnsi="Times New Roman" w:eastAsia="Times New Roman"/>
                <w:b w:val="0"/>
                <w:sz w:val="20"/>
              </w:rPr>
              <w:t>0,83</w:t>
            </w:r>
          </w:p>
        </w:tc>
        <w:tc>
          <w:tcPr>
            <w:tcW w:type="dxa" w:w="864"/>
            <w:vAlign w:val="center"/>
          </w:tcPr>
          <w:p>
            <w:pPr>
              <w:jc w:val="center"/>
            </w:pPr>
            <w:r>
              <w:rPr>
                <w:rFonts w:ascii="Times New Roman" w:hAnsi="Times New Roman" w:eastAsia="Times New Roman"/>
                <w:sz w:val="20"/>
              </w:rPr>
            </w:r>
            <w:r>
              <w:rPr>
                <w:rFonts w:ascii="Times New Roman" w:hAnsi="Times New Roman" w:eastAsia="Times New Roman"/>
                <w:b w:val="0"/>
                <w:sz w:val="20"/>
              </w:rPr>
              <w:t>0,014</w:t>
            </w:r>
          </w:p>
        </w:tc>
      </w:tr>
      <w:tr>
        <w:tc>
          <w:tcPr>
            <w:tcW w:type="dxa" w:w="2409"/>
            <w:vAlign w:val="center"/>
          </w:tcPr>
          <w:p>
            <w:pPr>
              <w:jc w:val="center"/>
            </w:pPr>
            <w:r>
              <w:rPr>
                <w:rFonts w:ascii="Times New Roman" w:hAnsi="Times New Roman" w:eastAsia="Times New Roman"/>
                <w:sz w:val="20"/>
              </w:rPr>
            </w:r>
            <w:r>
              <w:rPr>
                <w:rFonts w:ascii="Times New Roman" w:hAnsi="Times New Roman" w:eastAsia="Times New Roman"/>
                <w:b w:val="0"/>
                <w:sz w:val="20"/>
              </w:rPr>
              <w:t>fuzzy-only</w:t>
            </w:r>
          </w:p>
        </w:tc>
        <w:tc>
          <w:tcPr>
            <w:tcW w:type="dxa" w:w="2409"/>
            <w:vAlign w:val="center"/>
          </w:tcPr>
          <w:p>
            <w:pPr>
              <w:jc w:val="center"/>
            </w:pPr>
            <w:r>
              <w:rPr>
                <w:rFonts w:ascii="Times New Roman" w:hAnsi="Times New Roman" w:eastAsia="Times New Roman"/>
                <w:sz w:val="20"/>
              </w:rPr>
            </w:r>
            <w:r>
              <w:rPr>
                <w:rFonts w:ascii="Times New Roman" w:hAnsi="Times New Roman" w:eastAsia="Times New Roman"/>
                <w:b w:val="0"/>
                <w:sz w:val="20"/>
              </w:rPr>
              <w:t>404</w:t>
            </w:r>
          </w:p>
        </w:tc>
        <w:tc>
          <w:tcPr>
            <w:tcW w:type="dxa" w:w="2409"/>
            <w:vAlign w:val="center"/>
          </w:tcPr>
          <w:p>
            <w:pPr>
              <w:jc w:val="center"/>
            </w:pPr>
            <w:r>
              <w:rPr>
                <w:rFonts w:ascii="Times New Roman" w:hAnsi="Times New Roman" w:eastAsia="Times New Roman"/>
                <w:sz w:val="20"/>
              </w:rPr>
            </w:r>
            <w:r>
              <w:rPr>
                <w:rFonts w:ascii="Times New Roman" w:hAnsi="Times New Roman" w:eastAsia="Times New Roman"/>
                <w:b w:val="0"/>
                <w:sz w:val="20"/>
              </w:rPr>
              <w:t>2076</w:t>
            </w:r>
          </w:p>
        </w:tc>
        <w:tc>
          <w:tcPr>
            <w:tcW w:type="dxa" w:w="2409"/>
            <w:vAlign w:val="center"/>
          </w:tcPr>
          <w:p>
            <w:pPr>
              <w:jc w:val="center"/>
            </w:pPr>
            <w:r>
              <w:rPr>
                <w:rFonts w:ascii="Times New Roman" w:hAnsi="Times New Roman" w:eastAsia="Times New Roman"/>
                <w:sz w:val="20"/>
              </w:rPr>
            </w:r>
            <w:r>
              <w:rPr>
                <w:rFonts w:ascii="Times New Roman" w:hAnsi="Times New Roman" w:eastAsia="Times New Roman"/>
                <w:b w:val="0"/>
                <w:sz w:val="20"/>
              </w:rPr>
              <w:t>452</w:t>
            </w:r>
          </w:p>
        </w:tc>
        <w:tc>
          <w:tcPr>
            <w:tcW w:type="dxa" w:w="864"/>
            <w:vAlign w:val="center"/>
          </w:tcPr>
          <w:p>
            <w:pPr>
              <w:jc w:val="center"/>
            </w:pPr>
            <w:r>
              <w:rPr>
                <w:rFonts w:ascii="Times New Roman" w:hAnsi="Times New Roman" w:eastAsia="Times New Roman"/>
                <w:sz w:val="20"/>
              </w:rPr>
            </w:r>
            <w:r>
              <w:rPr>
                <w:rFonts w:ascii="Times New Roman" w:hAnsi="Times New Roman" w:eastAsia="Times New Roman"/>
                <w:b w:val="0"/>
                <w:sz w:val="20"/>
              </w:rPr>
              <w:t>9,42</w:t>
            </w:r>
          </w:p>
        </w:tc>
        <w:tc>
          <w:tcPr>
            <w:tcW w:type="dxa" w:w="864"/>
            <w:vAlign w:val="center"/>
          </w:tcPr>
          <w:p>
            <w:pPr>
              <w:jc w:val="center"/>
            </w:pPr>
            <w:r>
              <w:rPr>
                <w:rFonts w:ascii="Times New Roman" w:hAnsi="Times New Roman" w:eastAsia="Times New Roman"/>
                <w:sz w:val="20"/>
              </w:rPr>
            </w:r>
            <w:r>
              <w:rPr>
                <w:rFonts w:ascii="Times New Roman" w:hAnsi="Times New Roman" w:eastAsia="Times New Roman"/>
                <w:b w:val="0"/>
                <w:sz w:val="20"/>
              </w:rPr>
              <w:t>0,155</w:t>
            </w:r>
          </w:p>
        </w:tc>
      </w:tr>
      <w:tr>
        <w:tc>
          <w:tcPr>
            <w:tcW w:type="dxa" w:w="2409"/>
            <w:vAlign w:val="center"/>
          </w:tcPr>
          <w:p>
            <w:pPr>
              <w:jc w:val="center"/>
            </w:pPr>
            <w:r>
              <w:rPr>
                <w:rFonts w:ascii="Times New Roman" w:hAnsi="Times New Roman" w:eastAsia="Times New Roman"/>
                <w:sz w:val="20"/>
              </w:rPr>
            </w:r>
            <w:r>
              <w:rPr>
                <w:rFonts w:ascii="Times New Roman" w:hAnsi="Times New Roman" w:eastAsia="Times New Roman"/>
                <w:b w:val="0"/>
                <w:sz w:val="20"/>
              </w:rPr>
              <w:t>soft-mix</w:t>
            </w:r>
          </w:p>
        </w:tc>
        <w:tc>
          <w:tcPr>
            <w:tcW w:type="dxa" w:w="2409"/>
            <w:vAlign w:val="center"/>
          </w:tcPr>
          <w:p>
            <w:pPr>
              <w:jc w:val="center"/>
            </w:pPr>
            <w:r>
              <w:rPr>
                <w:rFonts w:ascii="Times New Roman" w:hAnsi="Times New Roman" w:eastAsia="Times New Roman"/>
                <w:sz w:val="20"/>
              </w:rPr>
            </w:r>
            <w:r>
              <w:rPr>
                <w:rFonts w:ascii="Times New Roman" w:hAnsi="Times New Roman" w:eastAsia="Times New Roman"/>
                <w:b w:val="0"/>
                <w:sz w:val="20"/>
              </w:rPr>
              <w:t>468</w:t>
            </w:r>
          </w:p>
        </w:tc>
        <w:tc>
          <w:tcPr>
            <w:tcW w:type="dxa" w:w="2409"/>
            <w:vAlign w:val="center"/>
          </w:tcPr>
          <w:p>
            <w:pPr>
              <w:jc w:val="center"/>
            </w:pPr>
            <w:r>
              <w:rPr>
                <w:rFonts w:ascii="Times New Roman" w:hAnsi="Times New Roman" w:eastAsia="Times New Roman"/>
                <w:sz w:val="20"/>
              </w:rPr>
            </w:r>
            <w:r>
              <w:rPr>
                <w:rFonts w:ascii="Times New Roman" w:hAnsi="Times New Roman" w:eastAsia="Times New Roman"/>
                <w:b w:val="0"/>
                <w:sz w:val="20"/>
              </w:rPr>
              <w:t>2508</w:t>
            </w:r>
          </w:p>
        </w:tc>
        <w:tc>
          <w:tcPr>
            <w:tcW w:type="dxa" w:w="2409"/>
            <w:vAlign w:val="center"/>
          </w:tcPr>
          <w:p>
            <w:pPr>
              <w:jc w:val="center"/>
            </w:pPr>
            <w:r>
              <w:rPr>
                <w:rFonts w:ascii="Times New Roman" w:hAnsi="Times New Roman" w:eastAsia="Times New Roman"/>
                <w:sz w:val="20"/>
              </w:rPr>
            </w:r>
            <w:r>
              <w:rPr>
                <w:rFonts w:ascii="Times New Roman" w:hAnsi="Times New Roman" w:eastAsia="Times New Roman"/>
                <w:b w:val="0"/>
                <w:sz w:val="20"/>
              </w:rPr>
              <w:t>478</w:t>
            </w:r>
          </w:p>
        </w:tc>
        <w:tc>
          <w:tcPr>
            <w:tcW w:type="dxa" w:w="864"/>
            <w:vAlign w:val="center"/>
          </w:tcPr>
          <w:p>
            <w:pPr>
              <w:jc w:val="center"/>
            </w:pPr>
            <w:r>
              <w:rPr>
                <w:rFonts w:ascii="Times New Roman" w:hAnsi="Times New Roman" w:eastAsia="Times New Roman"/>
                <w:sz w:val="20"/>
              </w:rPr>
            </w:r>
            <w:r>
              <w:rPr>
                <w:rFonts w:ascii="Times New Roman" w:hAnsi="Times New Roman" w:eastAsia="Times New Roman"/>
                <w:b w:val="0"/>
                <w:sz w:val="20"/>
              </w:rPr>
              <w:t>9,96</w:t>
            </w:r>
          </w:p>
        </w:tc>
        <w:tc>
          <w:tcPr>
            <w:tcW w:type="dxa" w:w="864"/>
            <w:vAlign w:val="center"/>
          </w:tcPr>
          <w:p>
            <w:pPr>
              <w:jc w:val="center"/>
            </w:pPr>
            <w:r>
              <w:rPr>
                <w:rFonts w:ascii="Times New Roman" w:hAnsi="Times New Roman" w:eastAsia="Times New Roman"/>
                <w:sz w:val="20"/>
              </w:rPr>
            </w:r>
            <w:r>
              <w:rPr>
                <w:rFonts w:ascii="Times New Roman" w:hAnsi="Times New Roman" w:eastAsia="Times New Roman"/>
                <w:b w:val="0"/>
                <w:sz w:val="20"/>
              </w:rPr>
              <w:t>0,164</w:t>
            </w:r>
          </w:p>
        </w:tc>
      </w:tr>
    </w:tbl>
    <w:p>
      <w:pPr>
        <w:spacing w:after="0" w:before="0" w:line="240" w:lineRule="auto"/>
      </w:pPr>
      <w:r>
        <w:rPr>
          <w:rFonts w:ascii="Times New Roman" w:hAnsi="Times New Roman" w:eastAsia="Times New Roman"/>
          <w:b w:val="0"/>
          <w:i w:val="0"/>
          <w:sz w:val="20"/>
        </w:rPr>
        <w:t>Примечание к таблице 4. Оценка выполнена для условного ядра класса ARM Cortex-M4 с частотой 48 МГц, напряжением 3,3 В и током активного режима 5 мА. Значения получены по числу операций и размеру состояния и являются симуляционной оценкой; они не являются on-device измерением задержки или энергии. Линейная панель требует около 92 байт RAM и 1228 байт Flash, а оценочное время одного вывода составляет менее 1 мкс. Нечёткая политика требует около 404 байт RAM и 2076 байт Flash; её оценочное время составляет около 9,42 мкс, а энергия одного вывода — около 0,155 мкДж.</w:t>
      </w:r>
      <w:r>
        <w:rPr>
          <w:rFonts w:ascii="Times New Roman" w:hAnsi="Times New Roman" w:eastAsia="Times New Roman"/>
          <w:sz w:val="20"/>
        </w:rPr>
      </w:r>
    </w:p>
    <w:p>
      <w:pPr>
        <w:spacing w:after="0" w:before="120" w:line="240" w:lineRule="auto"/>
      </w:pPr>
      <w:r>
        <w:rPr>
          <w:rFonts w:ascii="Times New Roman" w:hAnsi="Times New Roman" w:eastAsia="Times New Roman"/>
          <w:b/>
          <w:sz w:val="20"/>
        </w:rPr>
        <w:t>7. Обсуждение</w:t>
      </w:r>
    </w:p>
    <w:p>
      <w:pPr>
        <w:spacing w:after="0" w:before="0" w:line="240" w:lineRule="auto"/>
        <w:ind w:firstLine="397"/>
      </w:pPr>
      <w:r>
        <w:rPr>
          <w:rFonts w:ascii="Times New Roman" w:hAnsi="Times New Roman" w:eastAsia="Times New Roman"/>
          <w:b w:val="0"/>
          <w:i w:val="0"/>
          <w:sz w:val="20"/>
        </w:rPr>
      </w:r>
      <w:r>
        <w:rPr>
          <w:rFonts w:ascii="Times New Roman" w:hAnsi="Times New Roman" w:eastAsia="Times New Roman"/>
          <w:sz w:val="20"/>
        </w:rPr>
        <w:t>Полученные результаты уточняют роль BEACON-вектора. Он не гарантирует, что любая политика h(a(x)) будет лучше простого baseline. Наиболее эффективной оказалась линейная панель, которая использует несколько признаков локального конфликта и хрупкости без жёсткой дискретизации. Это показывает, что BEACON-признаки информативны, но требуют аккуратного способа агрегации.</w:t>
      </w:r>
    </w:p>
    <w:p>
      <w:pPr>
        <w:spacing w:after="0" w:before="0" w:line="240" w:lineRule="auto"/>
        <w:ind w:firstLine="397"/>
      </w:pPr>
      <w:r>
        <w:rPr>
          <w:rFonts w:ascii="Times New Roman" w:hAnsi="Times New Roman" w:eastAsia="Times New Roman"/>
          <w:b w:val="0"/>
          <w:i w:val="0"/>
          <w:sz w:val="20"/>
        </w:rPr>
      </w:r>
      <w:r>
        <w:rPr>
          <w:rFonts w:ascii="Times New Roman" w:hAnsi="Times New Roman" w:eastAsia="Times New Roman"/>
          <w:sz w:val="20"/>
        </w:rPr>
        <w:t>Нечёткая политика fuzzy-only v4 имеет другую ценность. Она уступает logit-panel, поскольку лингвистические правила накладывают более жёсткую форму разделяющей поверхности, но уверенно превосходит скалярный порог и остаётся читаемой. Оператор может увидеть, какие сочетания конфликта, хрупкости, слабой маржи и неопределённости приводят к высокому риску. Поэтому fuzzy-only v4 целесообразен там, где прозрачность правила важнее предельного F1.</w:t>
      </w:r>
    </w:p>
    <w:p>
      <w:pPr>
        <w:spacing w:after="0" w:before="0" w:line="240" w:lineRule="auto"/>
        <w:ind w:firstLine="397"/>
      </w:pPr>
      <w:r>
        <w:rPr>
          <w:rFonts w:ascii="Times New Roman" w:hAnsi="Times New Roman" w:eastAsia="Times New Roman"/>
          <w:b w:val="0"/>
          <w:i w:val="0"/>
          <w:sz w:val="20"/>
        </w:rPr>
        <w:t>Отрицательный результат TAN важен методологически. Вероятностная модель с дискретизированными признаками не подтвердила преимущества BEACON-признаков над uniform-признаками. Это может быть связано с потерей информации при дискретизации, с ограниченной пригодностью дерева зависимостей для данного признакового пространства или с тем, что скрытый конфликт лучше выражен в непрерывной линейной комбинации признаков.</w:t>
      </w:r>
    </w:p>
    <w:p>
      <w:pPr>
        <w:spacing w:after="0" w:before="0" w:line="240" w:lineRule="auto"/>
        <w:ind w:firstLine="397"/>
      </w:pPr>
      <w:r>
        <w:rPr>
          <w:rFonts w:ascii="Times New Roman" w:hAnsi="Times New Roman" w:eastAsia="Times New Roman"/>
          <w:b w:val="0"/>
          <w:i w:val="0"/>
          <w:sz w:val="20"/>
        </w:rPr>
      </w:r>
      <w:r>
        <w:rPr>
          <w:rFonts w:ascii="Times New Roman" w:hAnsi="Times New Roman" w:eastAsia="Times New Roman"/>
          <w:sz w:val="20"/>
        </w:rPr>
        <w:t>Отрицательные результаты fuzzy-gate и adaptive soft-mix также полезны. Они показывают, что интерпретируемый шлюз или дополнительная обучаемая модель для выбора веса между fuzzy и logit не гарантируют улучшения и могут ухудшить precision при малом бюджете оповещений. Поэтому в финальной интерпретации предпочтение отдаётся двум простым вариантам: logit-panel как лучшей практической политике и fuzzy-only v4 как более читаемой альтернативе scalar baseline. Soft-mix fixed v4 остаётся близким к logit-panel компромиссом, но без статистически подтверждённого преимущества.</w:t>
      </w:r>
    </w:p>
    <w:p>
      <w:pPr>
        <w:spacing w:after="0" w:before="0" w:line="240" w:lineRule="auto"/>
        <w:ind w:firstLine="397"/>
      </w:pPr>
      <w:r>
        <w:rPr>
          <w:rFonts w:ascii="Times New Roman" w:hAnsi="Times New Roman" w:eastAsia="Times New Roman"/>
          <w:b w:val="0"/>
          <w:i w:val="0"/>
          <w:sz w:val="20"/>
        </w:rPr>
      </w:r>
      <w:r>
        <w:rPr>
          <w:rFonts w:ascii="Times New Roman" w:hAnsi="Times New Roman" w:eastAsia="Times New Roman"/>
          <w:sz w:val="20"/>
        </w:rPr>
        <w:t>Практическая применимость TinyXAI-слоя имеет границы. Симуляционная оценка описывает только диагностический слой h(a(x)), работающий после извлечения BEACON-вектора, и не включает полный цикл выполнения исходной модели, нейтрализации компонентов и многократных обращений к классификатору. Поэтому значения RAM, Flash, времени и энергии следует рассматривать как нижнюю инженерную оценку стоимости политики риска, а не как доказательство готового микроконтроллерного развёртывания всей системы.</w:t>
      </w:r>
    </w:p>
    <w:p>
      <w:pPr>
        <w:spacing w:after="0" w:before="0" w:line="240" w:lineRule="auto"/>
        <w:ind w:firstLine="397"/>
      </w:pPr>
      <w:r>
        <w:rPr>
          <w:rFonts w:ascii="Times New Roman" w:hAnsi="Times New Roman" w:eastAsia="Times New Roman"/>
          <w:b w:val="0"/>
          <w:i w:val="0"/>
          <w:sz w:val="20"/>
        </w:rPr>
      </w:r>
      <w:r>
        <w:rPr>
          <w:rFonts w:ascii="Times New Roman" w:hAnsi="Times New Roman" w:eastAsia="Times New Roman"/>
          <w:sz w:val="20"/>
        </w:rPr>
        <w:t>В отличие от первой части, где основное внимание уделялось ранжированию компонентов, здесь фокус перенесён на эксплуатационное решение. Хороший ранг конфликтного компонента сам по себе не гарантирует лучшей политики оповещения. Поэтому вторая статья показывает как положительный результат logit-panel и fuzzy-only v4, так и границы TAN, fuzzy-gate и adaptive soft-mix.</w:t>
      </w:r>
    </w:p>
    <w:p>
      <w:pPr>
        <w:spacing w:after="0" w:before="120" w:line="240" w:lineRule="auto"/>
      </w:pPr>
      <w:r>
        <w:rPr>
          <w:rFonts w:ascii="Times New Roman" w:hAnsi="Times New Roman" w:eastAsia="Times New Roman"/>
          <w:b/>
          <w:sz w:val="20"/>
        </w:rPr>
        <w:t>8. Заключение</w:t>
      </w:r>
    </w:p>
    <w:p>
      <w:pPr>
        <w:spacing w:after="0" w:before="0" w:line="240" w:lineRule="auto"/>
        <w:ind w:firstLine="397"/>
      </w:pPr>
      <w:r>
        <w:rPr>
          <w:rFonts w:ascii="Times New Roman" w:hAnsi="Times New Roman" w:eastAsia="Times New Roman"/>
          <w:b w:val="0"/>
          <w:i w:val="0"/>
          <w:sz w:val="20"/>
        </w:rPr>
        <w:t>В статье предложена и проверена рамка компактных диагностических политик BEACON-XAI. Метод переводит исходное окно x в малый вектор аудита a(x), после чего риск оценивается функцией h(a(x)). Такая постановка объединяет скалярный порог, линейную панель, TAN, fuzzy_only и fuzzy-gate в едином экспериментальном протоколе.</w:t>
      </w:r>
    </w:p>
    <w:p>
      <w:pPr>
        <w:spacing w:after="0" w:before="0" w:line="240" w:lineRule="auto"/>
        <w:ind w:firstLine="397"/>
      </w:pPr>
      <w:r>
        <w:rPr>
          <w:rFonts w:ascii="Times New Roman" w:hAnsi="Times New Roman" w:eastAsia="Times New Roman"/>
          <w:b w:val="0"/>
          <w:i w:val="0"/>
          <w:sz w:val="20"/>
        </w:rPr>
      </w:r>
      <w:r>
        <w:rPr>
          <w:rFonts w:ascii="Times New Roman" w:hAnsi="Times New Roman" w:eastAsia="Times New Roman"/>
          <w:sz w:val="20"/>
        </w:rPr>
        <w:t>На UCI HAR с классификатором ExtraTrees и бюджетом Q=16 лучшей практической политикой оказалась logit-panel: при 10% бюджете оповещений она дала F1=0,231 и AUPRC=0,466. Нечёткая политика fuzzy-only v4 улучшила скалярный baseline до F1=0,179 и AUPRC=0,415, но уступила линейной панели. Soft-mix fixed v4 дал близкий к logit-panel результат без статистически значимого преимущества. TAN не подтвердил преимущества над uniform-признаками, fuzzy-gate ухудшил panel, а adaptive soft-mix оказался хуже фиксированного смешивания.</w:t>
      </w:r>
    </w:p>
    <w:p>
      <w:pPr>
        <w:spacing w:after="0" w:before="0" w:line="240" w:lineRule="auto"/>
        <w:ind w:firstLine="397"/>
      </w:pPr>
      <w:r>
        <w:rPr>
          <w:rFonts w:ascii="Times New Roman" w:hAnsi="Times New Roman" w:eastAsia="Times New Roman"/>
          <w:b w:val="0"/>
          <w:i w:val="0"/>
          <w:sz w:val="20"/>
        </w:rPr>
      </w:r>
      <w:r>
        <w:rPr>
          <w:rFonts w:ascii="Times New Roman" w:hAnsi="Times New Roman" w:eastAsia="Times New Roman"/>
          <w:sz w:val="20"/>
        </w:rPr>
        <w:t>Симуляционная TinyXAI-оценка показывает, что слой h(a(x)) требует менее 0,5 КБ RAM и около 2,5 КБ Flash даже для наиболее сложной политики soft-mix, а оценочное время одного вывода находится в пределах 10 мкс на Cortex-M4 48 МГц. Полноценная проверка на реальном микроконтроллере остаётся направлением дальнейшей работы. Дальнейшие исследования также должны быть направлены на перенос протокола на другие модели временных рядов и проверку более простых правил мягкого смешивания fuzzy- и logit-скорингов.</w:t>
      </w:r>
    </w:p>
    <w:p>
      <w:pPr>
        <w:spacing w:after="0" w:before="120" w:line="240" w:lineRule="auto"/>
      </w:pPr>
      <w:r>
        <w:rPr>
          <w:rFonts w:ascii="Times New Roman" w:hAnsi="Times New Roman" w:eastAsia="Times New Roman"/>
          <w:b/>
          <w:sz w:val="20"/>
        </w:rPr>
        <w:t>Информация о вкладе авторов, конфликте интересов и доступности материалов</w:t>
      </w:r>
    </w:p>
    <w:p>
      <w:pPr>
        <w:spacing w:after="0" w:before="0" w:line="240" w:lineRule="auto"/>
        <w:ind w:firstLine="397"/>
      </w:pPr>
      <w:r>
        <w:rPr>
          <w:rFonts w:ascii="Times New Roman" w:hAnsi="Times New Roman" w:eastAsia="Times New Roman"/>
          <w:b w:val="0"/>
          <w:i w:val="0"/>
          <w:sz w:val="20"/>
        </w:rPr>
        <w:t>Вклад авторов. Ю. В. Трофимов участвовал в постановке задачи, разработке экспериментального протокола и интерпретации результатов. М. Д. Лебедев и А. Д. Лебедев участвовали в реализации метода, подготовке вычислительных экспериментов и проверке воспроизводимости. А. Аверкин участвовал в научном обсуждении метода и общей интерпретации результатов. Все авторы обсудили результаты и одобрили итоговую версию статьи.</w:t>
      </w:r>
    </w:p>
    <w:p>
      <w:pPr>
        <w:spacing w:after="0" w:before="0" w:line="240" w:lineRule="auto"/>
        <w:ind w:firstLine="397"/>
      </w:pPr>
      <w:r>
        <w:rPr>
          <w:rFonts w:ascii="Times New Roman" w:hAnsi="Times New Roman" w:eastAsia="Times New Roman"/>
          <w:b w:val="0"/>
          <w:i w:val="0"/>
          <w:sz w:val="20"/>
        </w:rPr>
        <w:t>Конфликт интересов. Авторы заявляют об отсутствии конфликта интересов.</w:t>
      </w:r>
    </w:p>
    <w:p>
      <w:pPr>
        <w:spacing w:after="0" w:before="0" w:line="240" w:lineRule="auto"/>
        <w:ind w:firstLine="397"/>
      </w:pPr>
      <w:r>
        <w:rPr>
          <w:rFonts w:ascii="Times New Roman" w:hAnsi="Times New Roman" w:eastAsia="Times New Roman"/>
          <w:b w:val="0"/>
          <w:i w:val="0"/>
          <w:sz w:val="20"/>
        </w:rPr>
        <w:t>Финансирование. Работа выполнена в рамках государственного задания Министерства науки и высшего образования Российской Федерации (тема № 124112200072-2).</w:t>
      </w:r>
    </w:p>
    <w:p>
      <w:pPr>
        <w:spacing w:after="0" w:before="0" w:line="240" w:lineRule="auto"/>
        <w:ind w:firstLine="397"/>
      </w:pPr>
      <w:r>
        <w:rPr>
          <w:rFonts w:ascii="Times New Roman" w:hAnsi="Times New Roman" w:eastAsia="Times New Roman"/>
          <w:b w:val="0"/>
          <w:i w:val="0"/>
          <w:sz w:val="20"/>
        </w:rPr>
        <w:t>Благодарности. Авторы благодарят коллег и партнёров за ценные обсуждения, замечания к экспериментальному протоколу и помощь в прикладной интерпретации результатов.</w:t>
      </w:r>
    </w:p>
    <w:p>
      <w:pPr>
        <w:spacing w:after="0" w:before="0" w:line="240" w:lineRule="auto"/>
        <w:ind w:firstLine="397"/>
      </w:pPr>
      <w:r>
        <w:rPr>
          <w:rFonts w:ascii="Times New Roman" w:hAnsi="Times New Roman" w:eastAsia="Times New Roman"/>
          <w:b w:val="0"/>
          <w:i w:val="0"/>
          <w:sz w:val="20"/>
        </w:rPr>
      </w:r>
      <w:r>
        <w:rPr>
          <w:rFonts w:ascii="Times New Roman" w:hAnsi="Times New Roman" w:eastAsia="Times New Roman"/>
          <w:sz w:val="20"/>
        </w:rPr>
        <w:t>Доступность данных и кода. Код и материалы воспроизводимости доступны в репозитории BeaconXAI: https://github.com/fims9000/BeaconXAI, тег v1.0-submission. Расширенный протокол второй части реализован в scripts/run_part2_extended.py. Финальная v4-проверка fuzzy/soft-mix и TinyXAI-оценка реализованы в scripts/run_fuzzy_v4.py, scripts/evaluate_softmix_v4_bootstrap.py и scripts/simulate_tinyxai_resources.py; протокол сохраняет split_manifest.json, файлы audit features, TAN/fuzzy-sweep, policy comparison CSV и таблицы для рукописи.</w:t>
      </w:r>
    </w:p>
    <w:p>
      <w:pPr>
        <w:spacing w:after="0" w:before="0" w:line="240" w:lineRule="auto"/>
      </w:pPr>
      <w:r>
        <w:rPr>
          <w:rFonts w:ascii="Times New Roman" w:hAnsi="Times New Roman" w:eastAsia="Times New Roman"/>
          <w:b/>
          <w:i w:val="0"/>
          <w:sz w:val="20"/>
        </w:rPr>
        <w:t>Список литературы</w:t>
      </w:r>
    </w:p>
    <w:p>
      <w:pPr>
        <w:spacing w:after="0" w:before="0" w:line="240" w:lineRule="auto"/>
      </w:pPr>
      <w:r>
        <w:rPr>
          <w:rFonts w:ascii="Times New Roman" w:hAnsi="Times New Roman" w:eastAsia="Times New Roman"/>
          <w:b/>
          <w:i w:val="0"/>
          <w:sz w:val="20"/>
        </w:rPr>
        <w:t>1. Ribeiro M. T., Singh S., Guestrin C. Why Should I Trust You? Explaining the Predictions of Any Classifier // Proceedings of KDD. 2016.</w:t>
      </w:r>
    </w:p>
    <w:p>
      <w:pPr>
        <w:spacing w:after="0" w:before="0" w:line="240" w:lineRule="auto"/>
      </w:pPr>
      <w:r>
        <w:rPr>
          <w:rFonts w:ascii="Times New Roman" w:hAnsi="Times New Roman" w:eastAsia="Times New Roman"/>
          <w:b/>
          <w:i w:val="0"/>
          <w:sz w:val="20"/>
        </w:rPr>
        <w:t>2. Lundberg S. M., Lee S.-I. A Unified Approach to Interpreting Model Predictions // Advances in Neural Information Processing Systems. 2017.</w:t>
      </w:r>
    </w:p>
    <w:p>
      <w:pPr>
        <w:spacing w:after="0" w:before="0" w:line="240" w:lineRule="auto"/>
      </w:pPr>
      <w:r>
        <w:rPr>
          <w:rFonts w:ascii="Times New Roman" w:hAnsi="Times New Roman" w:eastAsia="Times New Roman"/>
          <w:b/>
          <w:i w:val="0"/>
          <w:sz w:val="20"/>
        </w:rPr>
        <w:t>3. Sundararajan M., Taly A., Yan Q. Axiomatic Attribution for Deep Networks // Proceedings of ICML. 2017.</w:t>
      </w:r>
    </w:p>
    <w:p>
      <w:pPr>
        <w:spacing w:after="0" w:before="0" w:line="240" w:lineRule="auto"/>
      </w:pPr>
      <w:r>
        <w:rPr>
          <w:rFonts w:ascii="Times New Roman" w:hAnsi="Times New Roman" w:eastAsia="Times New Roman"/>
          <w:b/>
          <w:i w:val="0"/>
          <w:sz w:val="20"/>
        </w:rPr>
        <w:t>4. Petsiuk V., Das A., Saenko K. RISE: Randomized Input Sampling for Explanation of Black-box Models // British Machine Vision Conference. 2018.</w:t>
      </w:r>
    </w:p>
    <w:p>
      <w:pPr>
        <w:spacing w:after="0" w:before="0" w:line="240" w:lineRule="auto"/>
      </w:pPr>
      <w:r>
        <w:rPr>
          <w:rFonts w:ascii="Times New Roman" w:hAnsi="Times New Roman" w:eastAsia="Times New Roman"/>
          <w:b/>
          <w:i w:val="0"/>
          <w:sz w:val="20"/>
        </w:rPr>
        <w:t>5. Fong R. C., Vedaldi A. Interpretable Explanations of Black Boxes by Meaningful Perturbation // Proceedings of ICCV. 2017.</w:t>
      </w:r>
    </w:p>
    <w:p>
      <w:pPr>
        <w:spacing w:after="0" w:before="0" w:line="240" w:lineRule="auto"/>
      </w:pPr>
      <w:r>
        <w:rPr>
          <w:rFonts w:ascii="Times New Roman" w:hAnsi="Times New Roman" w:eastAsia="Times New Roman"/>
          <w:b/>
          <w:i w:val="0"/>
          <w:sz w:val="20"/>
        </w:rPr>
        <w:t>6. Crabbé J., van der Schaar M. Explaining Time Series Predictions with Dynamic Masks // Proceedings of ICML. 2021.</w:t>
      </w:r>
    </w:p>
    <w:p>
      <w:pPr>
        <w:spacing w:after="0" w:before="0" w:line="240" w:lineRule="auto"/>
      </w:pPr>
      <w:r>
        <w:rPr>
          <w:rFonts w:ascii="Times New Roman" w:hAnsi="Times New Roman" w:eastAsia="Times New Roman"/>
          <w:b/>
          <w:i w:val="0"/>
          <w:sz w:val="20"/>
        </w:rPr>
        <w:t>7. Tonekaboni S., Joshi S., Campbell K., Duvenaud D., Goldenberg A. What Went Wrong and When? Instance-wise Feature Importance for Time-series Black-box Models // NeurIPS. 2020.</w:t>
      </w:r>
    </w:p>
    <w:p>
      <w:pPr>
        <w:spacing w:after="0" w:before="0" w:line="240" w:lineRule="auto"/>
      </w:pPr>
      <w:r>
        <w:rPr>
          <w:rFonts w:ascii="Times New Roman" w:hAnsi="Times New Roman" w:eastAsia="Times New Roman"/>
          <w:b/>
          <w:i w:val="0"/>
          <w:sz w:val="20"/>
        </w:rPr>
        <w:t>8. Bento J., Saleiro P., Cruz A. F., Figueiredo M. A. T., Bizarro P. TimeSHAP: Explaining Recurrent Models through Sequence Perturbations // KDD Workshop / arXiv. 2020.</w:t>
      </w:r>
    </w:p>
    <w:p>
      <w:pPr>
        <w:spacing w:after="0" w:before="0" w:line="240" w:lineRule="auto"/>
      </w:pPr>
      <w:r>
        <w:rPr>
          <w:rFonts w:ascii="Times New Roman" w:hAnsi="Times New Roman" w:eastAsia="Times New Roman"/>
          <w:b/>
          <w:i w:val="0"/>
          <w:sz w:val="20"/>
        </w:rPr>
        <w:t>9. Adebayo J., Gilmer J., Muelly M., Goodfellow I., Hardt M., Kim B. Sanity Checks for Saliency Maps // NeurIPS. 2018.</w:t>
      </w:r>
    </w:p>
    <w:p>
      <w:pPr>
        <w:spacing w:after="0" w:before="0" w:line="240" w:lineRule="auto"/>
      </w:pPr>
      <w:r>
        <w:rPr>
          <w:rFonts w:ascii="Times New Roman" w:hAnsi="Times New Roman" w:eastAsia="Times New Roman"/>
          <w:b/>
          <w:i w:val="0"/>
          <w:sz w:val="20"/>
        </w:rPr>
        <w:t>10. Molnar C. Interpretable Machine Learning. 2nd ed. 2022.</w:t>
      </w:r>
    </w:p>
    <w:p>
      <w:pPr>
        <w:spacing w:after="0" w:before="0" w:line="240" w:lineRule="auto"/>
      </w:pPr>
      <w:r>
        <w:rPr>
          <w:rFonts w:ascii="Times New Roman" w:hAnsi="Times New Roman" w:eastAsia="Times New Roman"/>
          <w:b/>
          <w:i w:val="0"/>
          <w:sz w:val="20"/>
        </w:rPr>
        <w:t>11. Guidotti R., Monreale A., Ruggieri S., Turini F., Giannotti F., Pedreschi D. A Survey of Methods for Explaining Black Box Models // ACM Computing Surveys. 2018.</w:t>
      </w:r>
    </w:p>
    <w:p>
      <w:pPr>
        <w:spacing w:after="0" w:before="0" w:line="240" w:lineRule="auto"/>
      </w:pPr>
      <w:r>
        <w:rPr>
          <w:rFonts w:ascii="Times New Roman" w:hAnsi="Times New Roman" w:eastAsia="Times New Roman"/>
          <w:b/>
          <w:i w:val="0"/>
          <w:sz w:val="20"/>
        </w:rPr>
        <w:t>12. Wachter S., Mittelstadt B., Russell C. Counterfactual Explanations without Opening the Black Box // Harvard Journal of Law &amp; Technology. 2017.</w:t>
      </w:r>
    </w:p>
    <w:p>
      <w:pPr>
        <w:spacing w:after="0" w:before="0" w:line="240" w:lineRule="auto"/>
      </w:pPr>
      <w:r>
        <w:rPr>
          <w:rFonts w:ascii="Times New Roman" w:hAnsi="Times New Roman" w:eastAsia="Times New Roman"/>
          <w:b/>
          <w:i w:val="0"/>
          <w:sz w:val="20"/>
        </w:rPr>
        <w:t>13. Mothilal R. K., Sharma A., Tan C. Explaining Machine Learning Classifiers through Diverse Counterfactual Explanations // FAT*. 2020.</w:t>
      </w:r>
    </w:p>
    <w:p>
      <w:pPr>
        <w:spacing w:after="0" w:before="0" w:line="240" w:lineRule="auto"/>
      </w:pPr>
      <w:r>
        <w:rPr>
          <w:rFonts w:ascii="Times New Roman" w:hAnsi="Times New Roman" w:eastAsia="Times New Roman"/>
          <w:b/>
          <w:i w:val="0"/>
          <w:sz w:val="20"/>
        </w:rPr>
        <w:t>14. Karimi A.-H., Barthe G., Schölkopf B., Valera I. A Survey of Algorithmic Recourse // ACM Computing Surveys. 2022.</w:t>
      </w:r>
    </w:p>
    <w:p>
      <w:pPr>
        <w:spacing w:after="0" w:before="0" w:line="240" w:lineRule="auto"/>
      </w:pPr>
      <w:r>
        <w:rPr>
          <w:rFonts w:ascii="Times New Roman" w:hAnsi="Times New Roman" w:eastAsia="Times New Roman"/>
          <w:b/>
          <w:i w:val="0"/>
          <w:sz w:val="20"/>
        </w:rPr>
        <w:t>15. Watson D. S., Floridi L. The Explanation Game: A Formal Framework for Interpretable Machine Learning // Synthese. 2021.</w:t>
      </w:r>
    </w:p>
    <w:p>
      <w:pPr>
        <w:spacing w:after="0" w:before="0" w:line="240" w:lineRule="auto"/>
      </w:pPr>
      <w:r>
        <w:rPr>
          <w:rFonts w:ascii="Times New Roman" w:hAnsi="Times New Roman" w:eastAsia="Times New Roman"/>
          <w:b/>
          <w:i w:val="0"/>
          <w:sz w:val="20"/>
        </w:rPr>
        <w:t>16. Bhatt U., Weller A., Moura J. M. F. Evaluating and Aggregating Feature-based Model Explanations // IJCAI. 2020.</w:t>
      </w:r>
    </w:p>
    <w:p>
      <w:pPr>
        <w:spacing w:after="0" w:before="0" w:line="240" w:lineRule="auto"/>
      </w:pPr>
      <w:r>
        <w:rPr>
          <w:rFonts w:ascii="Times New Roman" w:hAnsi="Times New Roman" w:eastAsia="Times New Roman"/>
          <w:b/>
          <w:i w:val="0"/>
          <w:sz w:val="20"/>
        </w:rPr>
        <w:t>17. Schlegel U., Arnout H., El-Assady M., Oelke D., Keim D. A. Towards a Rigorous Evaluation of XAI Methods on Time Series // ICCV Workshop. 2019.</w:t>
      </w:r>
    </w:p>
    <w:p>
      <w:pPr>
        <w:spacing w:after="0" w:before="0" w:line="240" w:lineRule="auto"/>
      </w:pPr>
      <w:r>
        <w:rPr>
          <w:rFonts w:ascii="Times New Roman" w:hAnsi="Times New Roman" w:eastAsia="Times New Roman"/>
          <w:b/>
          <w:i w:val="0"/>
          <w:sz w:val="20"/>
        </w:rPr>
        <w:t>18. Anguita D., Ghio A., Oneto L., Parra X., Reyes-Ortiz J. L. A Public Domain Dataset for Human Activity Recognition Using Smartphones // ESANN. 2013.</w:t>
      </w:r>
    </w:p>
    <w:p>
      <w:pPr>
        <w:spacing w:after="0" w:before="0" w:line="240" w:lineRule="auto"/>
      </w:pPr>
      <w:r>
        <w:rPr>
          <w:rFonts w:ascii="Times New Roman" w:hAnsi="Times New Roman" w:eastAsia="Times New Roman"/>
          <w:b/>
          <w:i w:val="0"/>
          <w:sz w:val="20"/>
        </w:rPr>
        <w:t>19. Reiss A., Stricker D. Introducing a New Benchmarked Dataset for Activity Monitoring // ISWC. 2012.</w:t>
      </w:r>
    </w:p>
    <w:p>
      <w:pPr>
        <w:spacing w:after="0" w:before="0" w:line="240" w:lineRule="auto"/>
      </w:pPr>
      <w:r>
        <w:rPr>
          <w:rFonts w:ascii="Times New Roman" w:hAnsi="Times New Roman" w:eastAsia="Times New Roman"/>
          <w:b/>
          <w:i w:val="0"/>
          <w:sz w:val="20"/>
        </w:rPr>
        <w:t>20. Kwapisz J. R., Weiss G. M., Moore S. A. Activity Recognition using Cell Phone Accelerometers // SIGKDD Explorations. 2011.</w:t>
      </w:r>
    </w:p>
    <w:p>
      <w:pPr>
        <w:spacing w:after="0" w:before="0" w:line="240" w:lineRule="auto"/>
      </w:pPr>
      <w:r>
        <w:rPr>
          <w:rFonts w:ascii="Times New Roman" w:hAnsi="Times New Roman" w:eastAsia="Times New Roman"/>
          <w:b/>
          <w:i w:val="0"/>
          <w:sz w:val="20"/>
        </w:rPr>
        <w:t>21. Lin T. Y., Goyal P., Girshick R., He K., Dollár P. Focal Loss for Dense Object Detection // ICCV. 2017.</w:t>
      </w:r>
    </w:p>
    <w:p>
      <w:pPr>
        <w:spacing w:after="0" w:before="0" w:line="240" w:lineRule="auto"/>
      </w:pPr>
      <w:r>
        <w:rPr>
          <w:rFonts w:ascii="Times New Roman" w:hAnsi="Times New Roman" w:eastAsia="Times New Roman"/>
          <w:b/>
          <w:i w:val="0"/>
          <w:sz w:val="20"/>
        </w:rPr>
        <w:t>22. Banbury C. et al. MLPerf Tiny Benchmark // NeurIPS Datasets and Benchmarks. 2021.</w:t>
      </w:r>
    </w:p>
    <w:p>
      <w:pPr>
        <w:spacing w:after="0" w:before="0" w:line="240" w:lineRule="auto"/>
      </w:pPr>
      <w:r>
        <w:rPr>
          <w:rFonts w:ascii="Times New Roman" w:hAnsi="Times New Roman" w:eastAsia="Times New Roman"/>
          <w:b/>
          <w:i w:val="0"/>
          <w:sz w:val="20"/>
        </w:rPr>
        <w:t>23. Warden P., Situnayake D. TinyML: Machine Learning with TensorFlow Lite on Arduino and Ultra-Low-Power Microcontrollers. O’Reilly, 2019.</w:t>
      </w:r>
    </w:p>
    <w:p>
      <w:pPr>
        <w:spacing w:after="0" w:before="0" w:line="240" w:lineRule="auto"/>
      </w:pPr>
      <w:r>
        <w:rPr>
          <w:rFonts w:ascii="Times New Roman" w:hAnsi="Times New Roman" w:eastAsia="Times New Roman"/>
          <w:b/>
          <w:i w:val="0"/>
          <w:sz w:val="20"/>
        </w:rPr>
        <w:t>24. David R. et al. TensorFlow Lite Micro: Embedded Machine Learning for TinyML Systems // MLSys. 2021.</w:t>
      </w:r>
    </w:p>
    <w:p>
      <w:pPr>
        <w:spacing w:after="0" w:before="0" w:line="240" w:lineRule="auto"/>
      </w:pPr>
      <w:r>
        <w:rPr>
          <w:rFonts w:ascii="Times New Roman" w:hAnsi="Times New Roman" w:eastAsia="Times New Roman"/>
          <w:b/>
          <w:i w:val="0"/>
          <w:sz w:val="20"/>
        </w:rPr>
        <w:t>25. Gunning D., Aha D. DARPA’s Explainable Artificial Intelligence Program // AI Magazine. 2019.</w:t>
      </w:r>
    </w:p>
    <w:p>
      <w:pPr>
        <w:spacing w:after="0" w:before="0" w:line="240" w:lineRule="auto"/>
      </w:pPr>
      <w:r>
        <w:rPr>
          <w:rFonts w:ascii="Times New Roman" w:hAnsi="Times New Roman" w:eastAsia="Times New Roman"/>
          <w:b/>
          <w:i w:val="0"/>
          <w:sz w:val="20"/>
        </w:rPr>
        <w:t>26. Theissler A. et al. Explainable AI for Time Series Classification: A Review, Taxonomy and Research Directions // IEEE Access. 2022.</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