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</w:rPr>
        <w:t>Большой комплект материалов для дописывания статьи о платформе RuFLEX</w:t>
      </w:r>
    </w:p>
    <w:p>
      <w:pPr>
        <w:pStyle w:val="Heading1"/>
      </w:pPr>
      <w:r>
        <w:rPr>
          <w:rFonts w:ascii="Times New Roman" w:hAnsi="Times New Roman" w:eastAsia="Times New Roman"/>
        </w:rPr>
        <w:t>Назначение документа</w:t>
      </w:r>
    </w:p>
    <w:p>
      <w:pPr>
        <w:spacing w:after="120"/>
        <w:ind w:firstLine="420"/>
      </w:pPr>
      <w:r>
        <w:t>Настоящий документ подготовлен как опорный материал для соавтора или научного редактора, который будет доводить статью о платформе RuFLEX до финальной журнальной версии. Его задача состоит не в замене основной рукописи, а в том, чтобы в одном месте собрать содержательные основания статьи, безопасные формулировки, проверенные результаты, архитектурные пояснения, математический контур, логику подачи экспериментальных данных и указания о том, какие утверждения в статье допустимы, а какие следует оставлять в разделе перспектив развития. Документ составлен так, чтобы по нему можно было уверенно дописать или отредактировать текст статьи без повторного анализа кода и экспериментальных каталогов.</w:t>
      </w:r>
    </w:p>
    <w:p>
      <w:pPr>
        <w:spacing w:after="120"/>
        <w:ind w:firstLine="420"/>
      </w:pPr>
      <w:r>
        <w:t>Основной рабочий черновик статьи находится в файле `docs/article/paper_draft.md`. Версия, ориентированная на русский шаблон, находится в `docs/article/shablon_dokladov_ready.md`. Настоящий файл следует рассматривать как расширенный набор исходных материалов к этим двум текстам.</w:t>
      </w:r>
    </w:p>
    <w:p>
      <w:pPr>
        <w:pStyle w:val="Heading1"/>
      </w:pPr>
      <w:r>
        <w:rPr>
          <w:rFonts w:ascii="Times New Roman" w:hAnsi="Times New Roman" w:eastAsia="Times New Roman"/>
        </w:rPr>
        <w:t>Что именно представляет собой RuFLEX</w:t>
      </w:r>
    </w:p>
    <w:p>
      <w:pPr>
        <w:spacing w:after="120"/>
        <w:ind w:firstLine="420"/>
      </w:pPr>
      <w:r>
        <w:t>RuFLEX следует описывать как расширяемую программную платформу для гибридного глубокого нечеткого обучения, а не как одну конкретную нейро-нечеткую модель. Это принципиальная позиция статьи. Центральный тезис состоит в том, что платформа объединяет в единой вычислительной и исследовательской среде несколько взаимосвязанных контуров: описание данных, задание переменных и термов, дифференцируемые функции принадлежности, правиловый вывод, плоские интерпретируемые конфигурации, глубокое нечеткое формирование признаков, обучение, визуальный анализ и средства интерпретации.</w:t>
      </w:r>
    </w:p>
    <w:p>
      <w:pPr>
        <w:spacing w:after="120"/>
        <w:ind w:firstLine="420"/>
      </w:pPr>
      <w:r>
        <w:t>В статье важно удерживать именно эту перспективу. Если RuFLEX будет подана как частный вариант ANFIS, статья станет существенно слабее и хуже согласуется с аннотацией. Если же RuFLEX будет описана как платформа, поддерживающая как минимум плоский интерпретируемый режим и глубокий режим нечеткого формирования признаков, тогда архитектурная новизна, прикладная полезность и экспериментальная логика текста становятся гораздо убедительнее.</w:t>
      </w:r>
    </w:p>
    <w:p>
      <w:pPr>
        <w:spacing w:after="120"/>
        <w:ind w:firstLine="420"/>
      </w:pPr>
      <w:r>
        <w:t>В безопасной формулировке можно писать, что RuFLEX представляет собой программную среду для построения, обучения, анализа и интерпретации гибридных глубоких нечетких моделей, ориентированную на геоаналитику, пространственную классификацию, прогнозирование и интеллектуальную поддержку принятия решений. Допустимо также подчеркивать, что платформа ориентирована на задачи, в которых качество прогноза должно сочетаться с интерпретируемостью, экспертной верифицируемостью и прозрачностью логики вывода.</w:t>
      </w:r>
    </w:p>
    <w:p>
      <w:pPr>
        <w:spacing w:after="120"/>
        <w:ind w:firstLine="420"/>
      </w:pPr>
      <w:r>
        <w:t>Техническое имя внутреннего вычислительного backend в статье не является центральным. Если задача состоит в сильной журнальной подаче, термин `ruanfis` лучше вообще не выносить в основной рассказ. Для читателя и рецензента важнее, что в платформе есть собственный модельный контур глубокого нечеткого обучения, а не то, как называется внутренний пакет реализации. Если происхождение вычислительного слоя все же нужно обозначить, это лучше делать кратко и только один раз, как указание на использование ранее разработанного глубоко-нечеткого ядра [7].</w:t>
      </w:r>
    </w:p>
    <w:p>
      <w:pPr>
        <w:pStyle w:val="Heading1"/>
      </w:pPr>
      <w:r>
        <w:rPr>
          <w:rFonts w:ascii="Times New Roman" w:hAnsi="Times New Roman" w:eastAsia="Times New Roman"/>
        </w:rPr>
        <w:t>Как согласовывать текст статьи с аннотацией</w:t>
      </w:r>
    </w:p>
    <w:p>
      <w:pPr>
        <w:spacing w:after="120"/>
        <w:ind w:firstLine="420"/>
      </w:pPr>
      <w:r>
        <w:t>Аннотация задает рамку, от которой в основной статье нельзя отступать. В этой рамке RuFLEX объединяет дифференцируемые нечеткие слои, глубокое нечеткое формирование признаков, расширяемый пространственный контур и механизмы принятия решений на основе правил. При этом статья не должна создавать впечатление, будто пространственный контур уже доведен до зрелой прикладной апробации. Корректная логика состоит в том, что платформа уже архитектурно включает этот контур и предоставляет каркас для его дальнейшего развития, но количественная демонстрация в статье сосредоточена на табличных геопризнаках и на глубоком нечетком формировании признаков.</w:t>
      </w:r>
    </w:p>
    <w:p>
      <w:pPr>
        <w:spacing w:after="120"/>
        <w:ind w:firstLine="420"/>
      </w:pPr>
      <w:r>
        <w:t>Аналогично следует поступать с контуром интерпретации. В статье допустимо уверенно говорить о встроенном анализе функций принадлежности, структуры правил, вкладов правил, скрытых концептов и факторов. Однако логическую прослеживаемость правил и контрфактуальный анализ лучше подавать как перспективное направление расширения, а не как полностью завершенную функцию первой версии платформы.</w:t>
      </w:r>
    </w:p>
    <w:p>
      <w:pPr>
        <w:pStyle w:val="Heading1"/>
      </w:pPr>
      <w:r>
        <w:rPr>
          <w:rFonts w:ascii="Times New Roman" w:hAnsi="Times New Roman" w:eastAsia="Times New Roman"/>
        </w:rPr>
        <w:t>Архитектурная логика платформы</w:t>
      </w:r>
    </w:p>
    <w:p>
      <w:pPr>
        <w:spacing w:after="120"/>
        <w:ind w:firstLine="420"/>
      </w:pPr>
      <w:r>
        <w:t>Архитектуру RuFLEX лучше всего раскрывать через разделение на вычислительный контур и платформенный контур. Такое изложение позволяет уйти от сухого перечисления модулей и показать, зачем каждый слой нужен в общей системе.</w:t>
      </w:r>
    </w:p>
    <w:p>
      <w:pPr>
        <w:spacing w:after="120"/>
        <w:ind w:firstLine="420"/>
      </w:pPr>
      <w:r>
        <w:t>Вычислительный контур отвечает за собственно нечеткие преобразования. В него входят нормализация входов, вычисление степеней принадлежности, локальные базы правил, формирование скрытых концептов, решающий слой и вычисление целевой функции. Этот контур можно рассматривать как математическое ядро платформы, на котором исполняются плоские и глубокие конфигурации.</w:t>
      </w:r>
    </w:p>
    <w:p>
      <w:pPr>
        <w:spacing w:after="120"/>
        <w:ind w:firstLine="420"/>
      </w:pPr>
      <w:r>
        <w:t>Платформенный контур отвечает за исследовательскую и прикладную работу с моделью. В него входят проект, описание переменных, сериализация, загрузка данных, история обучения, визуализация, средства запуска вычислительных опытов, экспорт результатов, пользовательский интерфейс и панель интерпретации. Именно этот контур превращает вычислительное ядро в платформу.</w:t>
      </w:r>
    </w:p>
    <w:p>
      <w:pPr>
        <w:spacing w:after="120"/>
        <w:ind w:firstLine="420"/>
      </w:pPr>
      <w:r>
        <w:t>Для связного текста в статье полезно раскрывать архитектуру последовательно. Сначала вводится уровень данных и переменных. Затем описывается формирование термов и функций принадлежности. После этого объясняется, как на их основе строятся правила и локальные блоки. Далее показывается различие между первым ключевым модельным модулем, то есть глубоким нечетким формированием признаков, и плоским интерпретируемым режимом. Затем вводятся обучение и регуляризация. В конце описывается интерпретационный контур и пользовательские средства платформы. Такой порядок воспринимается естественно и хорошо подходит для рецензируемой статьи.</w:t>
      </w:r>
    </w:p>
    <w:p>
      <w:pPr>
        <w:pStyle w:val="Heading1"/>
      </w:pPr>
      <w:r>
        <w:rPr>
          <w:rFonts w:ascii="Times New Roman" w:hAnsi="Times New Roman" w:eastAsia="Times New Roman"/>
        </w:rPr>
        <w:t>Подробное описание модулей платформы</w:t>
      </w:r>
    </w:p>
    <w:p>
      <w:pPr>
        <w:spacing w:after="120"/>
        <w:ind w:firstLine="420"/>
      </w:pPr>
      <w:r>
        <w:t>На уровне проекта RuFLEX оперирует переменными, для которых задаются имя, диапазон, роль, режим нормализации и принадлежность к входному, скрытому или выходному уровню. Этот модуль важен не только технически. Он задает семантический каркас модели, поскольку связывает исходные признаки данных с лингвистическими термами и будущими правилами. В статье полезно подчеркнуть, что платформа работает не с абстрактным безымянным вектором признаков, а с интерпретируемым набором переменных, на которые затем опирается весь последующий вывод.</w:t>
      </w:r>
    </w:p>
    <w:p>
      <w:pPr>
        <w:spacing w:after="120"/>
        <w:ind w:firstLine="420"/>
      </w:pPr>
      <w:r>
        <w:t>Модуль термов и функций принадлежности обеспечивает переход от числовых признаков к нечеткому описанию. В первой версии платформы поддерживаются гауссовы, колоколообразные, треугольные и трапециевидные функции принадлежности. Для дифференцируемых режимов центральную роль играют гладкие семейства, поскольку именно они позволяют совместно обучать параметры функций принадлежности вместе с параметрами правил и скрытых представлений. Этот модуль определяет, насколько точно и насколько интерпретируемо модель выделяет лингвистические области во входном пространстве.</w:t>
      </w:r>
    </w:p>
    <w:p>
      <w:pPr>
        <w:spacing w:after="120"/>
        <w:ind w:firstLine="420"/>
      </w:pPr>
      <w:r>
        <w:t>Правиловый модуль формирует основу прозрачного вывода. Каждое правило включает антецеденты, способ агрегации, вес, параметры заключения и указание на слой или блок, к которому оно относится. Важно подчеркивать, что RuFLEX не строит единую глобальную базу правил на все пространство признаков. Вместо этого платформа использует локальные блоки, ограничивающие число входов и число правил внутри блока. Это решение имеет содержательный смысл. Оно сдерживает комбинаторный рост структуры, сохраняет управляемость модели и создает основу для перехода к более глубокому формированию признаков.</w:t>
      </w:r>
    </w:p>
    <w:p>
      <w:pPr>
        <w:spacing w:after="120"/>
        <w:ind w:firstLine="420"/>
      </w:pPr>
      <w:r>
        <w:t>Первым ключевым модельным модулем текущей версии платформы является глубокое нечеткое формирование признаков. Именно этот контур следует выносить в центр архитектурного описания, потому что он реализует последовательное построение скрытых нечетких концептов из локальных правиловых блоков и отражает основной исследовательский вклад платформы. Здесь скрытые уровни трактуются не как непрозрачные внутренние признаки, а как новое интерпретируемое концептуальное пространство.</w:t>
      </w:r>
    </w:p>
    <w:p>
      <w:pPr>
        <w:spacing w:after="120"/>
        <w:ind w:firstLine="420"/>
      </w:pPr>
      <w:r>
        <w:t>Второй модельный модуль представляет собой плоский интерпретируемый нейро-нечеткий режим. В нем фаззификация относительно быстро переходит к компактной базе правил и решающему слою. Такой режим нужен как базовый ориентир, как средство сравнения с более глубоким контуром и как практическая конфигурация для задач, где особенно важна прозрачность вывода.</w:t>
      </w:r>
    </w:p>
    <w:p>
      <w:pPr>
        <w:spacing w:after="120"/>
        <w:ind w:firstLine="420"/>
      </w:pPr>
      <w:r>
        <w:t>Если требуется краткая модульная схема в прозе, ее лучше задавать в таком порядке: модуль глубокого нечеткого формирования признаков, плоский интерпретируемый модуль, модуль правил и локальных блоков, модуль обучения и регуляризации, модуль интерпретации, программный интерфейс и пользовательский контур. Именно такая последовательность лучше всего отражает текущее содержательное ядро платформы.</w:t>
      </w:r>
    </w:p>
    <w:p>
      <w:pPr>
        <w:spacing w:after="120"/>
        <w:ind w:firstLine="420"/>
      </w:pPr>
      <w:r>
        <w:t>Модуль обучения объединяет несколько режимов. Для плоских конфигураций используется начальная инициализация с последующим дообучением. Для глубоких конфигураций применяется поэтапное предварительное обучение и последующее совместное дообучение. В обеих ситуациях платформа поддерживает сохранение истории обучения, фиксацию лучших состояний модели, воспроизводимую конфигурацию вычислительного опыта и экспорт итоговых артефактов. В статье желательно объяснить, что RuFLEX ориентирована не только на запуск модели, но и на воспроизводимое исследование.</w:t>
      </w:r>
    </w:p>
    <w:p>
      <w:pPr>
        <w:spacing w:after="120"/>
        <w:ind w:firstLine="420"/>
      </w:pPr>
      <w:r>
        <w:t>Модуль регуляризации нужен для того, чтобы обучение подчинялось не одному лишь качеству прогноза. В статье важно показать, что платформа контролирует также компактность базы правил, перекрытие термов, покрытие пространства признаков и различимость скрытых концептов. Благодаря этому интерпретируемость поддерживается не только на этапе анализа результата, но и на этапе самой оптимизации.</w:t>
      </w:r>
    </w:p>
    <w:p>
      <w:pPr>
        <w:spacing w:after="120"/>
        <w:ind w:firstLine="420"/>
      </w:pPr>
      <w:r>
        <w:t>Модуль интерпретации и визуального анализа обеспечивает одну из главных прикладных особенностей платформы. Он позволяет исследовать степени принадлежности, структуру правил, нормированные веса, вклад правил в скрытые концепты, вклад скрытых концептов в ответ модели и вклад факторов в итоговое решение. Для статьи это особенно важно, потому что именно здесь RuFLEX выходит за рамки обычного обучения модели и становится платформой для содержательного анализа поведения гибридных глубоких нечетких архитектур.</w:t>
      </w:r>
    </w:p>
    <w:p>
      <w:pPr>
        <w:spacing w:after="120"/>
        <w:ind w:firstLine="420"/>
      </w:pPr>
      <w:r>
        <w:t>Пользовательский контур RuFLEX включает программный интерфейс Python, рабочую среду визуального проектирования и панель интерпретации. Даже если интерфейс не будет показан на большом числе иллюстраций, в тексте следует ясно указать, что платформа предназначена как для программной работы, так и для визуальной настройки и анализа. Это хорошо согласуется с аннотацией и усиливает платформенный тезис статьи.</w:t>
      </w:r>
    </w:p>
    <w:p>
      <w:pPr>
        <w:pStyle w:val="Heading1"/>
      </w:pPr>
      <w:r>
        <w:rPr>
          <w:rFonts w:ascii="Times New Roman" w:hAnsi="Times New Roman" w:eastAsia="Times New Roman"/>
        </w:rPr>
        <w:t>Математический контур, который следует раскрывать в статье</w:t>
      </w:r>
    </w:p>
    <w:p>
      <w:pPr>
        <w:spacing w:after="120"/>
        <w:ind w:firstLine="420"/>
      </w:pPr>
      <w:r>
        <w:t>Математическую часть статьи лучше строить вокруг пяти последовательных звеньев: нормализация входов, функции принадлежности, правила, скрытые концепты и целевая функция обучения.</w:t>
      </w:r>
    </w:p>
    <w:p>
      <w:pPr>
        <w:spacing w:after="120"/>
        <w:ind w:firstLine="420"/>
      </w:pPr>
      <w:r>
        <w:t>На первом шаге вводится вектор входных признаков x = (x_1, ..., x_d). Далее задается нормализованное представление z^(0)(x), где каждая компонента z_i^(0) получается из исходного признака x_i через соответствующее отображение нормализации. Этот шаг нужен для того, чтобы последующее описание функций принадлежности не выглядело оторванным от практики работы с данными.</w:t>
      </w:r>
    </w:p>
    <w:p>
      <w:pPr>
        <w:spacing w:after="120"/>
        <w:ind w:firstLine="420"/>
      </w:pPr>
      <w:r>
        <w:t>На втором шаге для каждой переменной и каждого терма задается функция принадлежности μ_ij(z_i^(0); θ_ij). В статье уже используются две базовые формулы для гауссовой и колоколообразной функций принадлежности. Их следует сохранять, поскольку они достаточно наглядны и хорошо отражают дифференцируемый характер платформы.</w:t>
      </w:r>
    </w:p>
    <w:p>
      <w:pPr>
        <w:spacing w:after="120"/>
        <w:ind w:firstLine="420"/>
      </w:pPr>
      <w:r>
        <w:t>На третьем шаге вводятся правила и их активации. Для правила r на уровне l задается ненормированная активация w_r^(l)(x), вычисляемая как произведение соответствующих степеней принадлежности. Затем вводится нормированный вес \bar{w}_r^(l)(x). Именно этот переход позволяет показать, каким образом отдельные термы и локальные условия переходят в взвешенный правиловый вывод.</w:t>
      </w:r>
    </w:p>
    <w:p>
      <w:pPr>
        <w:spacing w:after="120"/>
        <w:ind w:firstLine="420"/>
      </w:pPr>
      <w:r>
        <w:t>На четвертом шаге вводится глубокий режим. Здесь особенно важно подчеркнуть, что скрытые уровни в RuFLEX трактуются как пространство скрытых нечетких концептов. Каждый локальный блок B_q^(l) формирует концепт h_q^(l)(x) на основе ограниченного множества правил. Именно эта часть математического описания делает статью сильнее, поскольку показывает, что глубокая часть платформы не является черным ящиком в привычном смысле.</w:t>
      </w:r>
    </w:p>
    <w:p>
      <w:pPr>
        <w:spacing w:after="120"/>
        <w:ind w:firstLine="420"/>
      </w:pPr>
      <w:r>
        <w:t>На пятом шаге задается итоговая функция потерь. В статье уже введен функционал вида</w:t>
      </w:r>
    </w:p>
    <w:p>
      <w:pPr>
        <w:spacing w:after="120"/>
        <w:ind w:firstLine="420"/>
      </w:pPr>
      <w:r>
        <w:t>L = L_задачи + λ_1 L_разреженности + λ_2 L_перекрытия + λ_3 L_покрытия + λ_4 L_концептов.</w:t>
      </w:r>
    </w:p>
    <w:p>
      <w:pPr>
        <w:spacing w:after="120"/>
        <w:ind w:firstLine="420"/>
      </w:pPr>
      <w:r>
        <w:t>Эта запись очень полезна, потому что она подчеркивает структурный характер обучения. В тексте следует прямо пояснять, что оптимизация в RuFLEX ориентирована одновременно на качество прогноза и на интерпретируемость архитектуры.</w:t>
      </w:r>
    </w:p>
    <w:p>
      <w:pPr>
        <w:spacing w:after="120"/>
        <w:ind w:firstLine="420"/>
      </w:pPr>
      <w:r>
        <w:t>Если в статье потребуется усилить математическую часть, можно дополнительно словесно пояснить смысл каждого регуляризационного слагаемого. Разреженность ограничивает число активных правил. Контроль перекрытия препятствует чрезмерному наложению термов. Контроль покрытия препятствует вырождению модели в слишком узкие локальные области. Контроль концептов поддерживает различимость внутренних нечетких представлений. Эти пояснения добавляют содержательность без излишнего усложнения текста.</w:t>
      </w:r>
    </w:p>
    <w:p>
      <w:pPr>
        <w:spacing w:after="120"/>
        <w:ind w:firstLine="420"/>
      </w:pPr>
      <w:r>
        <w:t>Пространственный контур лучше описывать аккуратно. В математической части допустимо сохранить запись нечеткого сверточного отклика через локальное окно Ω, веса κ_(mabc) и локальные функции принадлежности μ_(mabc). Однако в интерпретационном тексте следует отдельно оговорить, что в первой версии платформы этот модуль задан как расширяемый каркас и предназначен для дальнейшего развития пространственного направления.</w:t>
      </w:r>
    </w:p>
    <w:p>
      <w:pPr>
        <w:pStyle w:val="Heading1"/>
      </w:pPr>
      <w:r>
        <w:rPr>
          <w:rFonts w:ascii="Times New Roman" w:hAnsi="Times New Roman" w:eastAsia="Times New Roman"/>
        </w:rPr>
        <w:t>Как описывать экспериментальную постановку</w:t>
      </w:r>
    </w:p>
    <w:p>
      <w:pPr>
        <w:spacing w:after="120"/>
        <w:ind w:firstLine="420"/>
      </w:pPr>
      <w:r>
        <w:t>Экспериментальная часть статьи должна выглядеть конкретно и воспроизводимо. Для этого желательно сохранять все уже подтвержденные параметры вычислительного опыта.</w:t>
      </w:r>
    </w:p>
    <w:p>
      <w:pPr>
        <w:spacing w:after="120"/>
        <w:ind w:firstLine="420"/>
      </w:pPr>
      <w:r>
        <w:t>В статье используются две задачи на основе набора `sklearn.fetch_california_housing` [3, 4]. Первая задача называется `california_housing_regression`. Это регрессия по переменной `MedHouseVal` при сохранении пространственных признаков `Latitude` и `Longitude`. Вторая задача называется `california_value_binary_geo`. Она построена на том же исходном наборе данных, но в постановке бинарной классификации. Целевая переменная `HighValue` определяется порогом 1.797 по величине `MedHouseVal`.</w:t>
      </w:r>
    </w:p>
    <w:p>
      <w:pPr>
        <w:spacing w:after="120"/>
        <w:ind w:firstLine="420"/>
      </w:pPr>
      <w:r>
        <w:t>В обеих задачах использовались подвыборки по 4096 наблюдений. Для регрессии применялось случайное подвыборочное извлечение при `random_state = 42`. Для классификации использовалась сбалансированная подвыборка при том же значении параметра. Во всех вычислительных опытах применялось разбиение на обучающую, проверочную и тестовую части с долями 0.6, 0.2 и 0.2.</w:t>
      </w:r>
    </w:p>
    <w:p>
      <w:pPr>
        <w:spacing w:after="120"/>
        <w:ind w:firstLine="420"/>
      </w:pPr>
      <w:r>
        <w:t>Сравнивались четыре конфигурации платформы: плоская базовая конфигурация, плоская интерпретируемая конфигурация, демонстрационный глубокий режим и расширенный глубокий режим. В статье не нужно искусственно уравнивать эти конфигурации по смыслу. Наоборот, следует прямо показать, что они задают разные балансы между компактностью, интерпретируемостью и глубиной формирования признаков.</w:t>
      </w:r>
    </w:p>
    <w:p>
      <w:pPr>
        <w:spacing w:after="120"/>
        <w:ind w:firstLine="420"/>
      </w:pPr>
      <w:r>
        <w:t>Для регрессии использовались RMSE, MAE и R². Для классификации использовались accuracy, precision, recall и F1. Если потребуется более русифицированная подача, в тексте можно называть эти показатели точностью классификации, точностью положительных решений, полнотой и F1-мерой, но сами общепринятые обозначения в таблицах лучше оставить.</w:t>
      </w:r>
    </w:p>
    <w:p>
      <w:pPr>
        <w:pStyle w:val="Heading1"/>
      </w:pPr>
      <w:r>
        <w:rPr>
          <w:rFonts w:ascii="Times New Roman" w:hAnsi="Times New Roman" w:eastAsia="Times New Roman"/>
        </w:rPr>
        <w:t>Главные результаты, которые следует выносить в центр статьи</w:t>
      </w:r>
    </w:p>
    <w:p>
      <w:pPr>
        <w:spacing w:after="120"/>
        <w:ind w:firstLine="420"/>
      </w:pPr>
      <w:r>
        <w:t>Самый сильный результат статьи связан с регрессионной задачей `california_housing_regression`. Лучшей здесь оказалась конфигурация «расширенный глубокий режим». Для нее получены значения `test_rmse = 0.795757`, `test_mae = 0.593770` и `test_r2 = 0.507159`. Плоская базовая конфигурация дает заметно более слабые показатели: `test_rmse = 0.890950`, `test_mae = 0.678868` и `test_r2 = 0.382192`. Демонстрационный глубокий режим также улучшает результат относительно базовой плоской конфигурации и показывает `test_rmse = 0.816314` и `test_r2 = 0.481367`.</w:t>
      </w:r>
    </w:p>
    <w:p>
      <w:pPr>
        <w:spacing w:after="120"/>
        <w:ind w:firstLine="420"/>
      </w:pPr>
      <w:r>
        <w:t>Из этих чисел следует главный содержательный вывод статьи. На регрессионной задаче переход от плоского интерпретируемого контура к более глубокому нечеткому формированию признаков дает устойчивое улучшение качества. Именно этот тезис лучше делать главным количественным аргументом статьи, поскольку он хорошо согласуется с архитектурной логикой RuFLEX и поддерживается воспроизводимыми экспериментами.</w:t>
      </w:r>
    </w:p>
    <w:p>
      <w:pPr>
        <w:spacing w:after="120"/>
        <w:ind w:firstLine="420"/>
      </w:pPr>
      <w:r>
        <w:t>Классификационная задача `california_value_binary_geo` нужна в статье для другой цели. Здесь лучшей оказывается не самая глубокая конфигурация, а плоская интерпретируемая конфигурация с показателями `test_accuracy = 0.746341`, `test_precision = 0.743073`, `test_recall = 0.735661` и `test_f1 = 0.739348`. Расширенный глубокий режим показывает очень близкие, но несколько более слабые значения: `test_accuracy = 0.743902` и `test_f1 = 0.736181`. Демонстрационный глубокий режим дает `test_accuracy = 0.739024` и `test_f1 = 0.738386`.</w:t>
      </w:r>
    </w:p>
    <w:p>
      <w:pPr>
        <w:spacing w:after="120"/>
        <w:ind w:firstLine="420"/>
      </w:pPr>
      <w:r>
        <w:t>Этот результат не следует воспринимать как слабость статьи. Наоборот, он поддерживает гораздо более сильный платформенный тезис. RuFLEX не навязывает один и тот же архитектурный режим как универсально лучший. Платформа позволяет сравнивать режимы и выбирать конфигурацию, которая лучше соответствует структуре конкретной задачи. Для регрессии наиболее продуктивным оказывается глубокий режим построения признаков. Для бинарной классификации лучший баланс между качеством и прозрачностью дает компактная интерпретируемая конфигурация. Для рецензента это выглядит убедительнее, чем попытка любой ценой показать превосходство только одной архитектуры.</w:t>
      </w:r>
    </w:p>
    <w:p>
      <w:pPr>
        <w:pStyle w:val="Heading1"/>
      </w:pPr>
      <w:r>
        <w:rPr>
          <w:rFonts w:ascii="Times New Roman" w:hAnsi="Times New Roman" w:eastAsia="Times New Roman"/>
        </w:rPr>
        <w:t>Как интерпретировать результаты в тексте статьи</w:t>
      </w:r>
    </w:p>
    <w:p>
      <w:pPr>
        <w:spacing w:after="120"/>
        <w:ind w:firstLine="420"/>
      </w:pPr>
      <w:r>
        <w:t>В разделе результатов нужно избегать сухого перечисления метрик. Правильная логика состоит в том, чтобы после численного сравнения сразу пояснять его содержательный смысл. Для регрессии это преимущество глубокого режима формирования признаков. Для классификации это подтверждение того, что платформа нужна именно для архитектурного выбора и сопоставления.</w:t>
      </w:r>
    </w:p>
    <w:p>
      <w:pPr>
        <w:spacing w:after="120"/>
        <w:ind w:firstLine="420"/>
      </w:pPr>
      <w:r>
        <w:t>Важно также подчеркивать, что RuFLEX дает не только таблицу итоговых метрик. Для лучших конфигураций автоматически формируются графики функций принадлежности, история обучения, набор наиболее активных правил, скрытые концепты и аналитические панели для выбранных объектов. Поэтому статья получает не просто итоговые числа, а еще и объяснимый материал, показывающий внутреннюю логику решения. В рецензируемой публикации это усиливает аргументацию, потому что сильный количественный результат подкрепляется прозрачной структурой вывода.</w:t>
      </w:r>
    </w:p>
    <w:p>
      <w:pPr>
        <w:pStyle w:val="Heading1"/>
      </w:pPr>
      <w:r>
        <w:rPr>
          <w:rFonts w:ascii="Times New Roman" w:hAnsi="Times New Roman" w:eastAsia="Times New Roman"/>
        </w:rPr>
        <w:t>Что можно уверенно заявлять в статье</w:t>
      </w:r>
    </w:p>
    <w:p>
      <w:pPr>
        <w:spacing w:after="120"/>
        <w:ind w:firstLine="420"/>
      </w:pPr>
      <w:r>
        <w:t>В статье можно уверенно утверждать, что RuFLEX представляет собой платформу для построения, обучения, анализа и интерпретации гибридных глубоких нечетких моделей. Можно говорить, что платформа поддерживает плоские интерпретируемые нейро-нечеткие конфигурации, глубокое нечеткое формирование признаков, локальные правиловые блоки, совместное обучение параметров функций принадлежности и правил, а также встроенный контур анализа факторов, правил и скрытых концептов.</w:t>
      </w:r>
    </w:p>
    <w:p>
      <w:pPr>
        <w:spacing w:after="120"/>
        <w:ind w:firstLine="420"/>
      </w:pPr>
      <w:r>
        <w:t>Можно утверждать, что платформа реализована в экосистеме PyTorch, включает программный интерфейс Python и пользовательский контур визуального проектирования и анализа. Можно утверждать, что экспериментальный контур обеспечивает воспроизводимое сравнение конфигураций и автоматический экспорт таблиц, рисунков и аналитических отчетов.</w:t>
      </w:r>
    </w:p>
    <w:p>
      <w:pPr>
        <w:spacing w:after="120"/>
        <w:ind w:firstLine="420"/>
      </w:pPr>
      <w:r>
        <w:t>Можно уверенно писать, что на регрессионной задаче глубокий режим продемонстрировал убедимое преимущество над плоской базовой конфигурацией, а на задаче бинарной классификации лучший результат был получен компактной интерпретируемой конфигурацией. Такой вывод корректен и хорошо поддерживает платформенную концепцию.</w:t>
      </w:r>
    </w:p>
    <w:p>
      <w:pPr>
        <w:pStyle w:val="Heading1"/>
      </w:pPr>
      <w:r>
        <w:rPr>
          <w:rFonts w:ascii="Times New Roman" w:hAnsi="Times New Roman" w:eastAsia="Times New Roman"/>
        </w:rPr>
        <w:t>Чего не следует заявлять как уже завершенный результат</w:t>
      </w:r>
    </w:p>
    <w:p>
      <w:pPr>
        <w:spacing w:after="120"/>
        <w:ind w:firstLine="420"/>
      </w:pPr>
      <w:r>
        <w:t>Не следует писать, что пространственный контур глубоких нечетких сверток уже прошел зрелую прикладную проверку на реальных пространственных изображениях или картах. Корректнее говорить, что платформа архитектурно предусматривает такой контур и содержит расширяемый каркас для его развития.</w:t>
      </w:r>
    </w:p>
    <w:p>
      <w:pPr>
        <w:spacing w:after="120"/>
        <w:ind w:firstLine="420"/>
      </w:pPr>
      <w:r>
        <w:t>Не следует писать, что логическая прослеживаемость правил и контрфактуальный анализ уже доведены до полнофункционального завершенного состояния. Их лучше формулировать как перспективу развития контура интерпретации.</w:t>
      </w:r>
    </w:p>
    <w:p>
      <w:pPr>
        <w:spacing w:after="120"/>
        <w:ind w:firstLine="420"/>
      </w:pPr>
      <w:r>
        <w:t>Не следует создавать впечатление, будто глубокий режим обязательно превосходит плоский в любой задаче. Классификационный эксперимент показывает более тонкую картину, и это нужно использовать как сильный аргумент в пользу платформенного подхода, а не скрывать.</w:t>
      </w:r>
    </w:p>
    <w:p>
      <w:pPr>
        <w:pStyle w:val="Heading1"/>
      </w:pPr>
      <w:r>
        <w:rPr>
          <w:rFonts w:ascii="Times New Roman" w:hAnsi="Times New Roman" w:eastAsia="Times New Roman"/>
        </w:rPr>
        <w:t>Рекомендуемая структура финальной статьи</w:t>
      </w:r>
    </w:p>
    <w:p>
      <w:pPr>
        <w:spacing w:after="120"/>
        <w:ind w:firstLine="420"/>
      </w:pPr>
      <w:r>
        <w:t>Для статьи лучше сохранять только крупные разделы без внутренних подразделов. Оптимальная последовательность такова.</w:t>
      </w:r>
    </w:p>
    <w:p>
      <w:pPr>
        <w:spacing w:after="120"/>
        <w:ind w:firstLine="420"/>
      </w:pPr>
      <w:r>
        <w:t>Первый раздел должен вводить предметную постановку, показывать ограниченность непрозрачных моделей и объяснять, почему для геоаналитики и смежных задач нужна именно платформа, сочетающая качество и интерпретируемость.</w:t>
      </w:r>
    </w:p>
    <w:p>
      <w:pPr>
        <w:spacing w:after="120"/>
        <w:ind w:firstLine="420"/>
      </w:pPr>
      <w:r>
        <w:t>Второй раздел должен последовательно раскрывать архитектуру и модульный состав RuFLEX, начиная с вычислительного ядра и заканчивая пользовательским и интерпретационным контуром.</w:t>
      </w:r>
    </w:p>
    <w:p>
      <w:pPr>
        <w:spacing w:after="120"/>
        <w:ind w:firstLine="420"/>
      </w:pPr>
      <w:r>
        <w:t>Третий раздел должен содержать математическое описание модельного контура, функций принадлежности, правил, скрытых концептов и регуляризованного обучения.</w:t>
      </w:r>
    </w:p>
    <w:p>
      <w:pPr>
        <w:spacing w:after="120"/>
        <w:ind w:firstLine="420"/>
      </w:pPr>
      <w:r>
        <w:t>Четвертый раздел должен описывать экспериментальную постановку, наборы данных, режимы обучения, метрики и сравниваемые конфигурации.</w:t>
      </w:r>
    </w:p>
    <w:p>
      <w:pPr>
        <w:spacing w:after="120"/>
        <w:ind w:firstLine="420"/>
      </w:pPr>
      <w:r>
        <w:t>Пятый раздел должен содержать результаты и их интерпретацию, причем главный акцент следует делать на регрессионном эксперименте.</w:t>
      </w:r>
    </w:p>
    <w:p>
      <w:pPr>
        <w:spacing w:after="120"/>
        <w:ind w:firstLine="420"/>
      </w:pPr>
      <w:r>
        <w:t>Шестой раздел должен содержать заключение, в котором нужно еще раз подчеркнуть платформенный характер RuFLEX, воспроизводимость вычислительного опыта и перспективы дальнейшего развития.</w:t>
      </w:r>
    </w:p>
    <w:p>
      <w:pPr>
        <w:pStyle w:val="Heading1"/>
      </w:pPr>
      <w:r>
        <w:rPr>
          <w:rFonts w:ascii="Times New Roman" w:hAnsi="Times New Roman" w:eastAsia="Times New Roman"/>
        </w:rPr>
        <w:t>Какие таблицы следует брать в финальную статью</w:t>
      </w:r>
    </w:p>
    <w:p>
      <w:pPr>
        <w:spacing w:after="120"/>
        <w:ind w:firstLine="420"/>
      </w:pPr>
      <w:r>
        <w:t>В финальной статье достаточно двух основных таблиц. Первая таблица должна содержать сравнение всех конфигураций на регрессионной задаче с колонками для RMSE, MAE и R². Вторая таблица должна содержать сравнение всех конфигураций на классификационной задаче с колонками для accuracy, precision, recall и F1.</w:t>
      </w:r>
    </w:p>
    <w:p>
      <w:pPr>
        <w:spacing w:after="120"/>
        <w:ind w:firstLine="420"/>
      </w:pPr>
      <w:r>
        <w:t>Эти таблицы уже собраны в каталоге `docs/article/submission_bundle/tables`. Внешнему автору полезно знать, что основными источниками являются файлы `regression_results_table.csv`, `regression_results_table.md`, `classification_results_table.csv` и `classification_results_table.md`.</w:t>
      </w:r>
    </w:p>
    <w:p>
      <w:pPr>
        <w:pStyle w:val="Heading1"/>
      </w:pPr>
      <w:r>
        <w:rPr>
          <w:rFonts w:ascii="Times New Roman" w:hAnsi="Times New Roman" w:eastAsia="Times New Roman"/>
        </w:rPr>
        <w:t>Какие рисунки и схемы следует использовать</w:t>
      </w:r>
    </w:p>
    <w:p>
      <w:pPr>
        <w:spacing w:after="120"/>
        <w:ind w:firstLine="420"/>
      </w:pPr>
      <w:r>
        <w:t>Для статьи уже подготовлены три схемы. Схема 1 показывает архитектуру платформы и разделение вычислительного ядра и платформенного слоя. Схема 2 показывает общий модельный контур с плоским и глубоким режимами. Схема 3 показывает контур интерпретации от выбранного объекта до аналитических материалов. Эти схемы находятся в каталоге `docs/article/generated_figures`.</w:t>
      </w:r>
    </w:p>
    <w:p>
      <w:pPr>
        <w:spacing w:after="120"/>
        <w:ind w:firstLine="420"/>
      </w:pPr>
      <w:r>
        <w:t>Основные экспериментальные иллюстрации находятся в каталоге `docs/article/submission_bundle/figures`. Для регрессии наиболее полезны `article_board_regression.png`, `results_overview.png`, `best_training_history.png`, `best_sample_top_rules.png`, `best_sample_hidden_concepts.png` и `best_sample_fuzzification.png`. Для классификации аналогичную роль играют `article_board_classification.png`, `results_overview.png`, `best_training_history.png`, `best_sample_top_rules.png`, `best_sample_hidden_concepts.png` и `best_sample_fuzzification.png`.</w:t>
      </w:r>
    </w:p>
    <w:p>
      <w:pPr>
        <w:spacing w:after="120"/>
        <w:ind w:firstLine="420"/>
      </w:pPr>
      <w:r>
        <w:t>Если статья должна быть более компактной, можно ограничиться тремя схемами, двумя таблицами и двумя сводными панелями `article_board_regression.png` и `article_board_classification.png`. Если же объем позволяет, дополнительно стоит показать пример функций принадлежности и пример наиболее активных правил.</w:t>
      </w:r>
    </w:p>
    <w:p>
      <w:pPr>
        <w:spacing w:after="120"/>
        <w:ind w:firstLine="420"/>
      </w:pPr>
      <w:r>
        <w:t>Готовые подписи и краткие словесные описания рисунков и схем собраны в файле `docs/article/figure_descriptions_ru.md`.</w:t>
      </w:r>
    </w:p>
    <w:p>
      <w:pPr>
        <w:pStyle w:val="Heading1"/>
      </w:pPr>
      <w:r>
        <w:rPr>
          <w:rFonts w:ascii="Times New Roman" w:hAnsi="Times New Roman" w:eastAsia="Times New Roman"/>
        </w:rPr>
        <w:t>Какие файлы следует дать внешнему автору</w:t>
      </w:r>
    </w:p>
    <w:p>
      <w:pPr>
        <w:spacing w:after="120"/>
        <w:ind w:firstLine="420"/>
      </w:pPr>
      <w:r>
        <w:t>Если статья будет дописываться вне проекта, достаточно передать следующий набор материалов:</w:t>
      </w:r>
    </w:p>
    <w:p>
      <w:pPr>
        <w:pStyle w:val="ListBullet"/>
      </w:pPr>
      <w:r>
        <w:t>`docs/article/paper_draft.md`</w:t>
      </w:r>
    </w:p>
    <w:p>
      <w:pPr>
        <w:pStyle w:val="ListBullet"/>
      </w:pPr>
      <w:r>
        <w:t>`docs/article/shablon_dokladov_ready.md`</w:t>
      </w:r>
    </w:p>
    <w:p>
      <w:pPr>
        <w:pStyle w:val="ListBullet"/>
      </w:pPr>
      <w:r>
        <w:t>`docs/article/shablon_dokladov_template_based.docx`</w:t>
      </w:r>
    </w:p>
    <w:p>
      <w:pPr>
        <w:pStyle w:val="ListBullet"/>
      </w:pPr>
      <w:r>
        <w:t>`docs/article/final_metadata.md`</w:t>
      </w:r>
    </w:p>
    <w:p>
      <w:pPr>
        <w:pStyle w:val="ListBullet"/>
      </w:pPr>
      <w:r>
        <w:t>`docs/article/final_status.md`</w:t>
      </w:r>
    </w:p>
    <w:p>
      <w:pPr>
        <w:pStyle w:val="ListBullet"/>
      </w:pPr>
      <w:r>
        <w:t>`docs/article/figure_descriptions_ru.md`</w:t>
      </w:r>
    </w:p>
    <w:p>
      <w:pPr>
        <w:pStyle w:val="ListBullet"/>
      </w:pPr>
      <w:r>
        <w:t>`docs/article/article_references.json`</w:t>
      </w:r>
    </w:p>
    <w:p>
      <w:pPr>
        <w:pStyle w:val="ListBullet"/>
      </w:pPr>
      <w:r>
        <w:t>`docs/article/references_ru_gost.md`</w:t>
      </w:r>
    </w:p>
    <w:p>
      <w:pPr>
        <w:pStyle w:val="ListBullet"/>
      </w:pPr>
      <w:r>
        <w:t>`docs/article/submission_bundle/tables/*`</w:t>
      </w:r>
    </w:p>
    <w:p>
      <w:pPr>
        <w:pStyle w:val="ListBullet"/>
      </w:pPr>
      <w:r>
        <w:t>`docs/article/submission_bundle/figures/*`</w:t>
      </w:r>
    </w:p>
    <w:p>
      <w:pPr>
        <w:pStyle w:val="ListBullet"/>
      </w:pPr>
      <w:r>
        <w:t>настоящий файл `docs/article/article_source_materials_ru.md`</w:t>
      </w:r>
    </w:p>
    <w:p>
      <w:pPr>
        <w:spacing w:after="120"/>
        <w:ind w:firstLine="420"/>
      </w:pPr>
      <w:r>
        <w:t>Если нужен один рабочий документ, удобнее всего отдавать `docs/article/shablon_dokladov_template_based.docx` вместе с настоящим файлом как пояснительной запиской.</w:t>
      </w:r>
    </w:p>
    <w:p>
      <w:pPr>
        <w:pStyle w:val="Heading1"/>
      </w:pPr>
      <w:r>
        <w:rPr>
          <w:rFonts w:ascii="Times New Roman" w:hAnsi="Times New Roman" w:eastAsia="Times New Roman"/>
        </w:rPr>
        <w:t>Готовые формулировки, которые можно использовать почти без изменений</w:t>
      </w:r>
    </w:p>
    <w:p>
      <w:pPr>
        <w:spacing w:after="120"/>
        <w:ind w:firstLine="420"/>
      </w:pPr>
      <w:r>
        <w:t>Для введения подходит следующая логика. В задачах геоаналитики и пространственного анализа высокая точность не снимает требования к интерпретируемости. Поэтому возникает потребность в программной среде, которая позволяет соединить обучаемые глубокие представления признаков с прозрачной правиловой структурой вывода. В этой роли и рассматривается платформа RuFLEX.</w:t>
      </w:r>
    </w:p>
    <w:p>
      <w:pPr>
        <w:spacing w:after="120"/>
        <w:ind w:firstLine="420"/>
      </w:pPr>
      <w:r>
        <w:t>Для архитектурного раздела подходит следующая логика. RuFLEX построена как платформенный слой поверх вычислительного ядра глубокого нечеткого обучения. Такое решение позволяет сохранить преемственность базового математического контура и одновременно развивать самостоятельные средства описания проекта, управления экспериментами, визуального проектирования и интерпретации результата.</w:t>
      </w:r>
    </w:p>
    <w:p>
      <w:pPr>
        <w:spacing w:after="120"/>
        <w:ind w:firstLine="420"/>
      </w:pPr>
      <w:r>
        <w:t>Для раздела результатов подходит следующая логика. Регрессионный эксперимент показывает, что глубокое нечеткое формирование признаков дает устойчивое улучшение качества по сравнению с плоской базовой конфигурацией. Классификационный эксперимент показывает, что наиболее удачной может оказаться компактная интерпретируемая конфигурация. Следовательно, сильная сторона RuFLEX состоит не в навязывании одной архитектуры, а в возможности содержательно сравнивать режимы в единой воспроизводимой среде.</w:t>
      </w:r>
    </w:p>
    <w:p>
      <w:pPr>
        <w:spacing w:after="120"/>
        <w:ind w:firstLine="420"/>
      </w:pPr>
      <w:r>
        <w:t>Для заключения подходит следующая логика. RuFLEX следует рассматривать как платформу, объединяющую вычислительное ядро гибридного глубокого нечеткого обучения, средства описания и обучения моделей, а также встроенный интерпретационный контур. Перспективы платформы связаны с развитием пространственного направления и дальнейшим углублением средств объяснения.</w:t>
      </w:r>
    </w:p>
    <w:p>
      <w:pPr>
        <w:pStyle w:val="Heading1"/>
      </w:pPr>
      <w:r>
        <w:rPr>
          <w:rFonts w:ascii="Times New Roman" w:hAnsi="Times New Roman" w:eastAsia="Times New Roman"/>
        </w:rPr>
        <w:t>Что еще осталось сделать вручную</w:t>
      </w:r>
    </w:p>
    <w:p>
      <w:pPr>
        <w:spacing w:after="120"/>
        <w:ind w:firstLine="420"/>
      </w:pPr>
      <w:r>
        <w:t>Даже при наличии полного набора материалов остаются ручные задачи. Необходимо окончательно заполнить `docs/article/article_profile.json`, если в нем еще сохраняются шаблонные авторские данные. Необходимо проверить соответствие библиографии требованиям конкретной площадки. Необходимо вручную просмотреть верстку итогового шаблонного документа и при необходимости слегка подправить расположение рисунков и таблиц. Если площадка требует отдельный файл для системы антиплагиата, его также придется подготовить вручную.</w:t>
      </w:r>
    </w:p>
    <w:p>
      <w:pPr>
        <w:pStyle w:val="Heading1"/>
      </w:pPr>
      <w:r>
        <w:rPr>
          <w:rFonts w:ascii="Times New Roman" w:hAnsi="Times New Roman" w:eastAsia="Times New Roman"/>
        </w:rPr>
        <w:t>Ключевой вывод для соавтора</w:t>
      </w:r>
    </w:p>
    <w:p>
      <w:pPr>
        <w:spacing w:after="120"/>
        <w:ind w:firstLine="420"/>
      </w:pPr>
      <w:r>
        <w:t>Главное, что нужно удерживать при дописывании статьи, состоит в следующем. RuFLEX является платформой, а не одной моделью. Первым и главным модельным модулем в описании текущей версии должно выступать глубокое нечеткое формирование признаков. Самый сильный эксперимент статьи связан с регрессией и показывает преимущество именно этого режима. Классификационный эксперимент нужен как подтверждение того, что платформа предназначена для выбора архитектурного режима под задачу. Пространственный контур и углубленная логическая прослеживаемость должны подаваться как архитектурно предусмотренные и перспективные направления. Если сохранять именно эту линию, статья остается согласованной, убедительной и безопасной для рецензирования.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