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rPr>
        <w:t>Подробные материалы для соавтора по глубокому нечеткому контуру платформы RuFLEX</w:t>
      </w:r>
    </w:p>
    <w:p>
      <w:pPr>
        <w:pStyle w:val="Heading1"/>
      </w:pPr>
      <w:r>
        <w:rPr>
          <w:rFonts w:ascii="Times New Roman" w:hAnsi="Times New Roman" w:eastAsia="Times New Roman"/>
        </w:rPr>
        <w:t>Назначение документа</w:t>
      </w:r>
    </w:p>
    <w:p>
      <w:pPr>
        <w:spacing w:after="120"/>
        <w:ind w:firstLine="420"/>
      </w:pPr>
      <w:r>
        <w:t>Настоящий документ подготовлен как подробная техническая записка для соавтора, который будет дорабатывать архитектурный и математический разделы статьи о платформе RuFLEX. Его задача состоит в том, чтобы последовательно и без пропусков раскрыть смысл глубины в платформе, устройство скрытых нечетких концептов, роль локальных правиловых блоков, организацию решающего слоя, совместное обучение параметров и контур интерпретации результата. Текст построен так, чтобы по нему можно было написать или существенно усилить разделы статьи без обращения к внутренним техническим именам кода.</w:t>
      </w:r>
    </w:p>
    <w:p>
      <w:pPr>
        <w:pStyle w:val="Heading1"/>
      </w:pPr>
      <w:r>
        <w:rPr>
          <w:rFonts w:ascii="Times New Roman" w:hAnsi="Times New Roman" w:eastAsia="Times New Roman"/>
        </w:rPr>
        <w:t>Какой терминологией пользоваться в статье</w:t>
      </w:r>
    </w:p>
    <w:p>
      <w:pPr>
        <w:spacing w:after="120"/>
        <w:ind w:firstLine="420"/>
      </w:pPr>
      <w:r>
        <w:t>В статье следует использовать только содержательные архитектурные названия. Предпочтительны следующие формулировки: платформа RuFLEX, вычислительное ядро глубокого нечеткого обучения, модуль глубокого нечеткого формирования признаков, плоский интерпретируемый нейро-нечеткий режим, локальный правиловый блок, скрытый нечеткий концепт, решающий слой, программный интерфейс Python, веб-интерфейс визуального проектирования, панель интерпретации.</w:t>
      </w:r>
    </w:p>
    <w:p>
      <w:pPr>
        <w:spacing w:after="120"/>
        <w:ind w:firstLine="420"/>
      </w:pPr>
      <w:r>
        <w:t>Не следует выносить в текст старые внутренние имена файлов, каталогов и пакетов. Внутренняя реализация интересует читателя только постольку, поскольку она обеспечивает корректную работу платформы. Для статьи важна архитектурная логика, а не исторические имена программных компонентов.</w:t>
      </w:r>
    </w:p>
    <w:p>
      <w:pPr>
        <w:pStyle w:val="Heading1"/>
      </w:pPr>
      <w:r>
        <w:rPr>
          <w:rFonts w:ascii="Times New Roman" w:hAnsi="Times New Roman" w:eastAsia="Times New Roman"/>
        </w:rPr>
        <w:t>Что в статье означает глубина</w:t>
      </w:r>
    </w:p>
    <w:p>
      <w:pPr>
        <w:spacing w:after="120"/>
        <w:ind w:firstLine="420"/>
      </w:pPr>
      <w:r>
        <w:t>Глубина в RuFLEX не означает механическое увеличение числа слоев без изменения их смысла. Под глубиной здесь понимается последовательное построение новых нечетких представлений признаков, каждое из которых формируется из ограниченного множества локальных правил и потому сохраняет интерпретируемую связь с исходными переменными и промежуточными концептами. Такое понимание глубины принципиально отличает RuFLEX от непрозрачных глубоких сетей, в которых внутренние представления не имеют явной семантической структуры.</w:t>
      </w:r>
    </w:p>
    <w:p>
      <w:pPr>
        <w:spacing w:after="120"/>
        <w:ind w:firstLine="420"/>
      </w:pPr>
      <w:r>
        <w:t>Пусть уровень `l = 0` соответствует исходному пространству нормализованных признаков. Тогда уровень `l = 1` формирует первые скрытые нечеткие концепты из локальных правиловых блоков, опирающихся на исходные переменные. Уровень `l = 2` строит новые концепты уже на основе концептов предыдущего уровня. В общем случае глубина модели определяется числом последовательных концептуальных уровней `L - 1`, после которых вводится финальный решающий слой `L`. Иначе говоря, глубина в RuFLEX связана не с числом произвольных нелинейных преобразований, а с числом этапов интерпретируемого концептуального переописания входа.</w:t>
      </w:r>
    </w:p>
    <w:p>
      <w:pPr>
        <w:spacing w:after="120"/>
        <w:ind w:firstLine="420"/>
      </w:pPr>
      <w:r>
        <w:t>Это обстоятельство нужно прямо проговаривать в статье. Глубокий нечеткий контур не является набором локальных предикторов, поставленных друг на друга. Он предназначен для поэтапного формирования нового пространства признаков, сохраняющего нечеткую семантику и допускающего анализ на уровне правил, блоков и концептов.</w:t>
      </w:r>
    </w:p>
    <w:p>
      <w:pPr>
        <w:pStyle w:val="Heading1"/>
      </w:pPr>
      <w:r>
        <w:rPr>
          <w:rFonts w:ascii="Times New Roman" w:hAnsi="Times New Roman" w:eastAsia="Times New Roman"/>
        </w:rPr>
        <w:t>Общая модульная структура глубокого нечеткого контура</w:t>
      </w:r>
    </w:p>
    <w:p>
      <w:pPr>
        <w:spacing w:after="120"/>
        <w:ind w:firstLine="420"/>
      </w:pPr>
      <w:r>
        <w:t>Глубокий контур RuFLEX удобно представлять как последовательность шести взаимосвязанных модулей.</w:t>
      </w:r>
    </w:p>
    <w:p>
      <w:pPr>
        <w:spacing w:after="120"/>
        <w:ind w:firstLine="420"/>
      </w:pPr>
      <w:r>
        <w:t>Первый модуль задает входные переменные и процедуры нормализации. Здесь формируется исходное числовое описание объекта и его перевод в согласованное масштабированное пространство.</w:t>
      </w:r>
    </w:p>
    <w:p>
      <w:pPr>
        <w:spacing w:after="120"/>
        <w:ind w:firstLine="420"/>
      </w:pPr>
      <w:r>
        <w:t>Второй модуль задает термы и функции принадлежности. Он отвечает за построение нечеткого описания каждой переменной.</w:t>
      </w:r>
    </w:p>
    <w:p>
      <w:pPr>
        <w:spacing w:after="120"/>
        <w:ind w:firstLine="420"/>
      </w:pPr>
      <w:r>
        <w:t>Третий модуль состоит из локальных правиловых блоков. Каждый блок использует ограниченное число входов и ограниченное число правил, чтобы не допустить комбинаторного роста структуры.</w:t>
      </w:r>
    </w:p>
    <w:p>
      <w:pPr>
        <w:spacing w:after="120"/>
        <w:ind w:firstLine="420"/>
      </w:pPr>
      <w:r>
        <w:t>Четвертый модуль формирует скрытые нечеткие концепты. Каждый концепт строится как агрегированный результат работы одного локального блока.</w:t>
      </w:r>
    </w:p>
    <w:p>
      <w:pPr>
        <w:spacing w:after="120"/>
        <w:ind w:firstLine="420"/>
      </w:pPr>
      <w:r>
        <w:t>Пятый модуль задает решающий слой. Он принимает на вход последнее концептуальное представление и строит итоговый ответ модели.</w:t>
      </w:r>
    </w:p>
    <w:p>
      <w:pPr>
        <w:spacing w:after="120"/>
        <w:ind w:firstLine="420"/>
      </w:pPr>
      <w:r>
        <w:t>Шестой модуль связан с интерпретацией. Он восстанавливает вклады правил, концептов и факторов в итоговое решение.</w:t>
      </w:r>
    </w:p>
    <w:p>
      <w:pPr>
        <w:spacing w:after="120"/>
        <w:ind w:firstLine="420"/>
      </w:pPr>
      <w:r>
        <w:t>Такое представление удобно для статьи, потому что оно одновременно объясняет архитектуру, глубину и интерпретируемость модели.</w:t>
      </w:r>
    </w:p>
    <w:p>
      <w:pPr>
        <w:pStyle w:val="Heading1"/>
      </w:pPr>
      <w:r>
        <w:rPr>
          <w:rFonts w:ascii="Times New Roman" w:hAnsi="Times New Roman" w:eastAsia="Times New Roman"/>
        </w:rPr>
        <w:t>Исходное пространство признаков и нормализация</w:t>
      </w:r>
    </w:p>
    <w:p>
      <w:pPr>
        <w:spacing w:after="120"/>
        <w:ind w:firstLine="420"/>
      </w:pPr>
      <w:r>
        <w:t>Пусть объект описывается вектором исходных признаков</w:t>
      </w:r>
    </w:p>
    <w:p>
      <w:pPr>
        <w:spacing w:after="120"/>
        <w:ind w:firstLine="420"/>
      </w:pPr>
      <w:r>
        <w:t>`x = (x_1, x_2, ..., x_d)`.</w:t>
      </w:r>
    </w:p>
    <w:p>
      <w:pPr>
        <w:spacing w:after="120"/>
        <w:ind w:firstLine="420"/>
      </w:pPr>
      <w:r>
        <w:t>Для каждой переменной задается отображение нормализации `φ_i`, после чего формируется нормализованное представление</w:t>
      </w:r>
    </w:p>
    <w:p>
      <w:pPr>
        <w:spacing w:after="120"/>
        <w:ind w:firstLine="420"/>
      </w:pPr>
      <w:r>
        <w:t>`z_i^(0) = φ_i(x_i),   i = 1, 2, ..., d`.</w:t>
      </w:r>
    </w:p>
    <w:p>
      <w:pPr>
        <w:spacing w:after="120"/>
        <w:ind w:firstLine="420"/>
      </w:pPr>
      <w:r>
        <w:t>Тогда весь входной слой может быть записан как</w:t>
      </w:r>
    </w:p>
    <w:p>
      <w:pPr>
        <w:spacing w:after="120"/>
        <w:ind w:firstLine="420"/>
      </w:pPr>
      <w:r>
        <w:t>`z^(0)(x) = (z_1^(0), z_2^(0), ..., z_d^(0))`.</w:t>
      </w:r>
    </w:p>
    <w:p>
      <w:pPr>
        <w:spacing w:after="120"/>
        <w:ind w:firstLine="420"/>
      </w:pPr>
      <w:r>
        <w:t>Смысл этого шага для статьи состоит в следующем. Нечеткие термы и функции принадлежности работают не в произвольном исходном масштабе, а в согласованном пространстве признаков, где параметры термов поддаются совместной оптимизации и сохраняют интерпретируемость.</w:t>
      </w:r>
    </w:p>
    <w:p>
      <w:pPr>
        <w:pStyle w:val="Heading1"/>
      </w:pPr>
      <w:r>
        <w:rPr>
          <w:rFonts w:ascii="Times New Roman" w:hAnsi="Times New Roman" w:eastAsia="Times New Roman"/>
        </w:rPr>
        <w:t>Функции принадлежности</w:t>
      </w:r>
    </w:p>
    <w:p>
      <w:pPr>
        <w:spacing w:after="120"/>
        <w:ind w:firstLine="420"/>
      </w:pPr>
      <w:r>
        <w:t>Для `i`-й переменной и `j`-го терма задается функция принадлежности</w:t>
      </w:r>
    </w:p>
    <w:p>
      <w:pPr>
        <w:spacing w:after="120"/>
        <w:ind w:firstLine="420"/>
      </w:pPr>
      <w:r>
        <w:t>`μ_ij(z_i^(0); θ_ij)`,</w:t>
      </w:r>
    </w:p>
    <w:p>
      <w:pPr>
        <w:spacing w:after="120"/>
        <w:ind w:firstLine="420"/>
      </w:pPr>
      <w:r>
        <w:t>где `θ_ij` есть набор параметров терма.</w:t>
      </w:r>
    </w:p>
    <w:p>
      <w:pPr>
        <w:spacing w:after="120"/>
        <w:ind w:firstLine="420"/>
      </w:pPr>
      <w:r>
        <w:t>Для гауссовой функции принадлежности используется выражение</w:t>
      </w:r>
    </w:p>
    <w:p>
      <w:pPr>
        <w:spacing w:after="120"/>
        <w:ind w:firstLine="420"/>
      </w:pPr>
      <w:r>
        <w:t>`μ_ij(z_i^(0)) = exp( - (z_i^(0) - c_ij)^2 / (2σ_ij^2) )`,</w:t>
      </w:r>
    </w:p>
    <w:p>
      <w:pPr>
        <w:spacing w:after="120"/>
        <w:ind w:firstLine="420"/>
      </w:pPr>
      <w:r>
        <w:t>где `c_ij` является центром терма, а `σ_ij &gt; 0` задает его ширину.</w:t>
      </w:r>
    </w:p>
    <w:p>
      <w:pPr>
        <w:spacing w:after="120"/>
        <w:ind w:firstLine="420"/>
      </w:pPr>
      <w:r>
        <w:t>Для колоколообразной функции принадлежности используется выражение</w:t>
      </w:r>
    </w:p>
    <w:p>
      <w:pPr>
        <w:spacing w:after="120"/>
        <w:ind w:firstLine="420"/>
      </w:pPr>
      <w:r>
        <w:t>`μ_ij(z_i^(0)) = 1 / ( 1 + | (z_i^(0) - c_ij) / a_ij |^(2b_ij) )`,</w:t>
      </w:r>
    </w:p>
    <w:p>
      <w:pPr>
        <w:spacing w:after="120"/>
        <w:ind w:firstLine="420"/>
      </w:pPr>
      <w:r>
        <w:t>где `c_ij` задает положение терма, `a_ij &gt; 0` отвечает за масштаб, а `b_ij &gt; 0` определяет крутизну перехода.</w:t>
      </w:r>
    </w:p>
    <w:p>
      <w:pPr>
        <w:spacing w:after="120"/>
        <w:ind w:firstLine="420"/>
      </w:pPr>
      <w:r>
        <w:t>При необходимости в статье можно также упомянуть треугольные и трапециевидные функции принадлежности как поддерживаемые в платформе, но основной математический акцент лучше делать на гладких семействax, поскольку именно они участвуют в дифференцируемом совместном обучении.</w:t>
      </w:r>
    </w:p>
    <w:p>
      <w:pPr>
        <w:pStyle w:val="Heading1"/>
      </w:pPr>
      <w:r>
        <w:rPr>
          <w:rFonts w:ascii="Times New Roman" w:hAnsi="Times New Roman" w:eastAsia="Times New Roman"/>
        </w:rPr>
        <w:t>Локальные правила и их активации</w:t>
      </w:r>
    </w:p>
    <w:p>
      <w:pPr>
        <w:spacing w:after="120"/>
        <w:ind w:firstLine="420"/>
      </w:pPr>
      <w:r>
        <w:t>Пусть на уровне `l` задано правило `r`, включающее `k_r` антецедентов. Тогда его ненормированная активация определяется как</w:t>
      </w:r>
    </w:p>
    <w:p>
      <w:pPr>
        <w:spacing w:after="120"/>
        <w:ind w:firstLine="420"/>
      </w:pPr>
      <w:r>
        <w:t>`w_r^(l)(x) = ∏_(m=1)^(k_r) μ_(i_m j_m)^(l)( z_(i_m)^(l-1)(x); θ_(i_m j_m)^(l) )`.</w:t>
      </w:r>
    </w:p>
    <w:p>
      <w:pPr>
        <w:spacing w:after="120"/>
        <w:ind w:firstLine="420"/>
      </w:pPr>
      <w:r>
        <w:t>Эта запись отражает базовую логику нечеткого конъюнктивного вывода: правило тем активнее, чем согласованнее входной объект с каждым из входящих в него термов.</w:t>
      </w:r>
    </w:p>
    <w:p>
      <w:pPr>
        <w:spacing w:after="120"/>
        <w:ind w:firstLine="420"/>
      </w:pPr>
      <w:r>
        <w:t>Для перехода от сырых активаций к сопоставимым весам используется нормировка</w:t>
      </w:r>
    </w:p>
    <w:p>
      <w:pPr>
        <w:spacing w:after="120"/>
        <w:ind w:firstLine="420"/>
      </w:pPr>
      <w:r>
        <w:t>`\bar{w}_r^(l)(x) = w_r^(l)(x) / ( Σ_s w_s^(l)(x) + ε )`,</w:t>
      </w:r>
    </w:p>
    <w:p>
      <w:pPr>
        <w:spacing w:after="120"/>
        <w:ind w:firstLine="420"/>
      </w:pPr>
      <w:r>
        <w:t>где `ε &gt; 0` предотвращает вырождение знаменателя.</w:t>
      </w:r>
    </w:p>
    <w:p>
      <w:pPr>
        <w:spacing w:after="120"/>
        <w:ind w:firstLine="420"/>
      </w:pPr>
      <w:r>
        <w:t>В статье важно пояснять, что именно нормированные веса правил являются связующим звеном между фаззификацией и построением скрытых концептов. Благодаря им каждый концепт формируется как структурированное и интерпретируемое агрегирование вклада нескольких локальных правил.</w:t>
      </w:r>
    </w:p>
    <w:p>
      <w:pPr>
        <w:pStyle w:val="Heading1"/>
      </w:pPr>
      <w:r>
        <w:rPr>
          <w:rFonts w:ascii="Times New Roman" w:hAnsi="Times New Roman" w:eastAsia="Times New Roman"/>
        </w:rPr>
        <w:t>Локальные правиловые блоки</w:t>
      </w:r>
    </w:p>
    <w:p>
      <w:pPr>
        <w:spacing w:after="120"/>
        <w:ind w:firstLine="420"/>
      </w:pPr>
      <w:r>
        <w:t>Ключевую роль в архитектуре RuFLEX играют локальные блоки правил. Глобальная база правил для всех переменных сразу быстро становится слишком большой и теряет управляемость. Поэтому для каждого уровня `l` вводятся локальные блоки</w:t>
      </w:r>
    </w:p>
    <w:p>
      <w:pPr>
        <w:spacing w:after="120"/>
        <w:ind w:firstLine="420"/>
      </w:pPr>
      <w:r>
        <w:t>`B_q^(l),   q = 1, 2, ..., Q_l`,</w:t>
      </w:r>
    </w:p>
    <w:p>
      <w:pPr>
        <w:spacing w:after="120"/>
        <w:ind w:firstLine="420"/>
      </w:pPr>
      <w:r>
        <w:t>каждый из которых использует ограниченное число входов и ограниченное число правил.</w:t>
      </w:r>
    </w:p>
    <w:p>
      <w:pPr>
        <w:spacing w:after="120"/>
        <w:ind w:firstLine="420"/>
      </w:pPr>
      <w:r>
        <w:t>Если блок `B_q^(l)` использует только часть координат представления `z^(l-1)(x)`, то он решает локальную задачу построения одного скрытого концепта. Эта идея принципиальна. Глубина модели возникает не за счет неконтролируемого роста общей базы правил, а за счет композиции компактных и семантически ограниченных блоков.</w:t>
      </w:r>
    </w:p>
    <w:p>
      <w:pPr>
        <w:spacing w:after="120"/>
        <w:ind w:firstLine="420"/>
      </w:pPr>
      <w:r>
        <w:t>Именно поэтому в статье нужно подчеркивать, что локальная блочная организация служит одновременно трем целям. Она сдерживает рост структуры. Она сохраняет интерпретируемость отдельных модулей. Она создает основу для перехода к более глубокому построению признаков.</w:t>
      </w:r>
    </w:p>
    <w:p>
      <w:pPr>
        <w:pStyle w:val="Heading1"/>
      </w:pPr>
      <w:r>
        <w:rPr>
          <w:rFonts w:ascii="Times New Roman" w:hAnsi="Times New Roman" w:eastAsia="Times New Roman"/>
        </w:rPr>
        <w:t>Скрытые нечеткие концепты</w:t>
      </w:r>
    </w:p>
    <w:p>
      <w:pPr>
        <w:spacing w:after="120"/>
        <w:ind w:firstLine="420"/>
      </w:pPr>
      <w:r>
        <w:t>Пусть блок `B_q^(l)` формирует `q`-й скрытый концепт на уровне `l`. Тогда этот концепт задается выражением</w:t>
      </w:r>
    </w:p>
    <w:p>
      <w:pPr>
        <w:spacing w:after="120"/>
        <w:ind w:firstLine="420"/>
      </w:pPr>
      <w:r>
        <w:t>`h_q^(l)(x) = Σ_(r ∈ B_q^(l)) \bar{w}_r^(l)(x) · g_r^(l)( z^(l-1)(x) )`,</w:t>
      </w:r>
    </w:p>
    <w:p>
      <w:pPr>
        <w:spacing w:after="120"/>
        <w:ind w:firstLine="420"/>
      </w:pPr>
      <w:r>
        <w:t>где `g_r^(l)` обозначает заключение `r`-го правила.</w:t>
      </w:r>
    </w:p>
    <w:p>
      <w:pPr>
        <w:spacing w:after="120"/>
        <w:ind w:firstLine="420"/>
      </w:pPr>
      <w:r>
        <w:t>Если заключение выбирается в линейной форме, то можно записать</w:t>
      </w:r>
    </w:p>
    <w:p>
      <w:pPr>
        <w:spacing w:after="120"/>
        <w:ind w:firstLine="420"/>
      </w:pPr>
      <w:r>
        <w:t>`g_r^(l)( z^(l-1)(x) ) = β_(r0)^(l) + Σ_t β_(rt)^(l) z_t^(l-1)(x)`.</w:t>
      </w:r>
    </w:p>
    <w:p>
      <w:pPr>
        <w:spacing w:after="120"/>
        <w:ind w:firstLine="420"/>
      </w:pPr>
      <w:r>
        <w:t>Тогда скрытый концепт строится как взвешенное сочетание локальных правиловых заключений. Вектор</w:t>
      </w:r>
    </w:p>
    <w:p>
      <w:pPr>
        <w:spacing w:after="120"/>
        <w:ind w:firstLine="420"/>
      </w:pPr>
      <w:r>
        <w:t>`h^(l)(x) = ( h_1^(l)(x), h_2^(l)(x), ..., h_(Q_l)^(l)(x) )`</w:t>
      </w:r>
    </w:p>
    <w:p>
      <w:pPr>
        <w:spacing w:after="120"/>
        <w:ind w:firstLine="420"/>
      </w:pPr>
      <w:r>
        <w:t>образует новое представление объекта на уровне `l`.</w:t>
      </w:r>
    </w:p>
    <w:p>
      <w:pPr>
        <w:spacing w:after="120"/>
        <w:ind w:firstLine="420"/>
      </w:pPr>
      <w:r>
        <w:t>Содержательный смысл этого шага для статьи исключительно важен. Скрытый концепт в RuFLEX не является произвольной скрытой координатой. Он имеет понятное происхождение, так как восходит к ограниченному набору правил и конкретному локальному блоку. Поэтому глубина в платформе сохраняет семантическую прослеживаемость.</w:t>
      </w:r>
    </w:p>
    <w:p>
      <w:pPr>
        <w:pStyle w:val="Heading1"/>
      </w:pPr>
      <w:r>
        <w:rPr>
          <w:rFonts w:ascii="Times New Roman" w:hAnsi="Times New Roman" w:eastAsia="Times New Roman"/>
        </w:rPr>
        <w:t>Рекурсивное описание глубины</w:t>
      </w:r>
    </w:p>
    <w:p>
      <w:pPr>
        <w:spacing w:after="120"/>
        <w:ind w:firstLine="420"/>
      </w:pPr>
      <w:r>
        <w:t>Если модель содержит `L - 1` скрытых уровней, то последовательность представлений можно записать рекурсивно:</w:t>
      </w:r>
    </w:p>
    <w:p>
      <w:pPr>
        <w:spacing w:after="120"/>
        <w:ind w:firstLine="420"/>
      </w:pPr>
      <w:r>
        <w:t>`z^(0)(x) -&gt; h^(1)(x) -&gt; h^(2)(x) -&gt; ... -&gt; h^(L-1)(x)`.</w:t>
      </w:r>
    </w:p>
    <w:p>
      <w:pPr>
        <w:spacing w:after="120"/>
        <w:ind w:firstLine="420"/>
      </w:pPr>
      <w:r>
        <w:t>На каждом шаге выполняется преобразование вида</w:t>
      </w:r>
    </w:p>
    <w:p>
      <w:pPr>
        <w:spacing w:after="120"/>
        <w:ind w:firstLine="420"/>
      </w:pPr>
      <w:r>
        <w:t>`h^(l)(x) = F^(l)( h^(l-1)(x) )`,</w:t>
      </w:r>
    </w:p>
    <w:p>
      <w:pPr>
        <w:spacing w:after="120"/>
        <w:ind w:firstLine="420"/>
      </w:pPr>
      <w:r>
        <w:t>где `F^(l)` реализуется системой локальных правиловых блоков.</w:t>
      </w:r>
    </w:p>
    <w:p>
      <w:pPr>
        <w:spacing w:after="120"/>
        <w:ind w:firstLine="420"/>
      </w:pPr>
      <w:r>
        <w:t>Отсюда видно, что глубина в RuFLEX равна числу последовательных операторов `F^(l)`, каждый из которых переводит одно интерпретируемое нечеткое представление в другое. В этом и состоит корректный смысл глубины для статьи.</w:t>
      </w:r>
    </w:p>
    <w:p>
      <w:pPr>
        <w:pStyle w:val="Heading1"/>
      </w:pPr>
      <w:r>
        <w:rPr>
          <w:rFonts w:ascii="Times New Roman" w:hAnsi="Times New Roman" w:eastAsia="Times New Roman"/>
        </w:rPr>
        <w:t>Финальный решающий слой</w:t>
      </w:r>
    </w:p>
    <w:p>
      <w:pPr>
        <w:spacing w:after="120"/>
        <w:ind w:firstLine="420"/>
      </w:pPr>
      <w:r>
        <w:t>После последнего скрытого уровня вводится решающий слой. Для задачи регрессии его удобно записывать в виде</w:t>
      </w:r>
    </w:p>
    <w:p>
      <w:pPr>
        <w:spacing w:after="120"/>
        <w:ind w:firstLine="420"/>
      </w:pPr>
      <w:r>
        <w:t>`\hat{y}(x) = Σ_(r ∈ B^(L)) \bar{w}_r^(L)(x) · g_r^(L)( h^(L-1)(x) )`.</w:t>
      </w:r>
    </w:p>
    <w:p>
      <w:pPr>
        <w:spacing w:after="120"/>
        <w:ind w:firstLine="420"/>
      </w:pPr>
      <w:r>
        <w:t>Если задача является бинарной классификацией, то сначала вычисляется логит</w:t>
      </w:r>
    </w:p>
    <w:p>
      <w:pPr>
        <w:spacing w:after="120"/>
        <w:ind w:firstLine="420"/>
      </w:pPr>
      <w:r>
        <w:t>`s(x) = Σ_(r ∈ B^(L)) \bar{w}_r^(L)(x) · g_r^(L)( h^(L-1)(x) )`,</w:t>
      </w:r>
    </w:p>
    <w:p>
      <w:pPr>
        <w:spacing w:after="120"/>
        <w:ind w:firstLine="420"/>
      </w:pPr>
      <w:r>
        <w:t>после чего вероятность положительного класса задается, например, выражением</w:t>
      </w:r>
    </w:p>
    <w:p>
      <w:pPr>
        <w:spacing w:after="120"/>
        <w:ind w:firstLine="420"/>
      </w:pPr>
      <w:r>
        <w:t>`\hat{p}(x) = 1 / (1 + exp(-s(x)))`.</w:t>
      </w:r>
    </w:p>
    <w:p>
      <w:pPr>
        <w:spacing w:after="120"/>
        <w:ind w:firstLine="420"/>
      </w:pPr>
      <w:r>
        <w:t>Для многоклассовой постановки аналогично может использоваться вектор логитов и преобразование softmax. Однако если статья ориентирована на текущие эксперименты, достаточно явно раскрыть регрессионный и бинарный варианты.</w:t>
      </w:r>
    </w:p>
    <w:p>
      <w:pPr>
        <w:spacing w:after="120"/>
        <w:ind w:firstLine="420"/>
      </w:pPr>
      <w:r>
        <w:t>Здесь важно подчеркнуть, что решающий слой не подменяет собой скрытые концептуальные уровни. Скрытые уровни выполняют функцию построения представления. Финальный слой выполняет функцию принятия решения на основе уже сформированного концептуального пространства.</w:t>
      </w:r>
    </w:p>
    <w:p>
      <w:pPr>
        <w:pStyle w:val="Heading1"/>
      </w:pPr>
      <w:r>
        <w:rPr>
          <w:rFonts w:ascii="Times New Roman" w:hAnsi="Times New Roman" w:eastAsia="Times New Roman"/>
        </w:rPr>
        <w:t>Плоский интерпретируемый режим и его отличие от глубокого контура</w:t>
      </w:r>
    </w:p>
    <w:p>
      <w:pPr>
        <w:spacing w:after="120"/>
        <w:ind w:firstLine="420"/>
      </w:pPr>
      <w:r>
        <w:t>Плоский интерпретируемый режим является частным случаем общей архитектуры. В нем отсутствует каскад скрытых концептуальных уровней, а фаззификация относительно быстро переходит к базе правил и финальному выводу. Если использовать обозначения предыдущих разделов, то плоский режим можно рассматривать как ситуацию, где пространство `z^(0)(x)` напрямую подается в решающий правиловый слой без промежуточного построения нескольких концептуальных уровней.</w:t>
      </w:r>
    </w:p>
    <w:p>
      <w:pPr>
        <w:spacing w:after="120"/>
        <w:ind w:firstLine="420"/>
      </w:pPr>
      <w:r>
        <w:t>Именно это различие нужно четко фиксировать в статье. В плоском режиме не строится глубокая иерархия концептов. В глубоком режиме признаки последовательно переописываются через систему локальных правиловых блоков. Благодаря этому сопоставление двух режимов становится содержательным и методологически корректным.</w:t>
      </w:r>
    </w:p>
    <w:p>
      <w:pPr>
        <w:pStyle w:val="Heading1"/>
      </w:pPr>
      <w:r>
        <w:rPr>
          <w:rFonts w:ascii="Times New Roman" w:hAnsi="Times New Roman" w:eastAsia="Times New Roman"/>
        </w:rPr>
        <w:t>Совместное обучение параметров</w:t>
      </w:r>
    </w:p>
    <w:p>
      <w:pPr>
        <w:spacing w:after="120"/>
        <w:ind w:firstLine="420"/>
      </w:pPr>
      <w:r>
        <w:t>RuFLEX поддерживает совместное обучение нескольких групп параметров. Во-первых, обучаются параметры функций принадлежности `θ_ij`. Во-вторых, обучаются параметры правиловых заключений `β_r`. В-третьих, обучаются веса и структурные коэффициенты, связанные с активацией локальных блоков и решающего слоя.</w:t>
      </w:r>
    </w:p>
    <w:p>
      <w:pPr>
        <w:spacing w:after="120"/>
        <w:ind w:firstLine="420"/>
      </w:pPr>
      <w:r>
        <w:t>Общий функционал обучения можно записать как</w:t>
      </w:r>
    </w:p>
    <w:p>
      <w:pPr>
        <w:spacing w:after="120"/>
        <w:ind w:firstLine="420"/>
      </w:pPr>
      <w:r>
        <w:t>`L = L_задачи + λ_1 L_разреженности + λ_2 L_перекрытия + λ_3 L_покрытия + λ_4 L_концептов`.</w:t>
      </w:r>
    </w:p>
    <w:p>
      <w:pPr>
        <w:spacing w:after="120"/>
        <w:ind w:firstLine="420"/>
      </w:pPr>
      <w:r>
        <w:t>Здесь `L_задачи` соответствует основной целевой функции. Для регрессии это может быть среднеквадратичная ошибка</w:t>
      </w:r>
    </w:p>
    <w:p>
      <w:pPr>
        <w:spacing w:after="120"/>
        <w:ind w:firstLine="420"/>
      </w:pPr>
      <w:r>
        <w:t>`L_задачи = (1/N) Σ_(n=1)^N ( y_n - \hat{y}(x_n) )^2`,</w:t>
      </w:r>
    </w:p>
    <w:p>
      <w:pPr>
        <w:spacing w:after="120"/>
        <w:ind w:firstLine="420"/>
      </w:pPr>
      <w:r>
        <w:t>а для бинарной классификации это может быть логистическая потеря</w:t>
      </w:r>
    </w:p>
    <w:p>
      <w:pPr>
        <w:spacing w:after="120"/>
        <w:ind w:firstLine="420"/>
      </w:pPr>
      <w:r>
        <w:t>`L_задачи = - (1/N) Σ_(n=1)^N [ y_n log \hat{p}(x_n) + (1-y_n) log (1-\hat{p}(x_n)) ]`.</w:t>
      </w:r>
    </w:p>
    <w:p>
      <w:pPr>
        <w:spacing w:after="120"/>
        <w:ind w:firstLine="420"/>
      </w:pPr>
      <w:r>
        <w:t>Разреживающее слагаемое может быть задано как</w:t>
      </w:r>
    </w:p>
    <w:p>
      <w:pPr>
        <w:spacing w:after="120"/>
        <w:ind w:firstLine="420"/>
      </w:pPr>
      <w:r>
        <w:t>`L_разреженности = Σ_(l,r) |α_r^(l)|`,</w:t>
      </w:r>
    </w:p>
    <w:p>
      <w:pPr>
        <w:spacing w:after="120"/>
        <w:ind w:firstLine="420"/>
      </w:pPr>
      <w:r>
        <w:t>где `α_r^(l)` отражает силу участия `r`-го правила в структуре модели.</w:t>
      </w:r>
    </w:p>
    <w:p>
      <w:pPr>
        <w:spacing w:after="120"/>
        <w:ind w:firstLine="420"/>
      </w:pPr>
      <w:r>
        <w:t>Слагаемое перекрытия термов может быть записано как</w:t>
      </w:r>
    </w:p>
    <w:p>
      <w:pPr>
        <w:spacing w:after="120"/>
        <w:ind w:firstLine="420"/>
      </w:pPr>
      <w:r>
        <w:t>`L_перекрытия = Σ_(i,j&lt;k) ∫ μ_ij(t) μ_ik(t) dt`.</w:t>
      </w:r>
    </w:p>
    <w:p>
      <w:pPr>
        <w:spacing w:after="120"/>
        <w:ind w:firstLine="420"/>
      </w:pPr>
      <w:r>
        <w:t>Оно препятствует чрезмерному наложению термов одной и той же переменной.</w:t>
      </w:r>
    </w:p>
    <w:p>
      <w:pPr>
        <w:spacing w:after="120"/>
        <w:ind w:firstLine="420"/>
      </w:pPr>
      <w:r>
        <w:t>Для контроля различимости скрытых концептов можно использовать</w:t>
      </w:r>
    </w:p>
    <w:p>
      <w:pPr>
        <w:spacing w:after="120"/>
        <w:ind w:firstLine="420"/>
      </w:pPr>
      <w:r>
        <w:t>`L_концептов = Σ_l Σ_(q≠p) &lt; h_q^(l), h_p^(l) &gt;^2`.</w:t>
      </w:r>
    </w:p>
    <w:p>
      <w:pPr>
        <w:spacing w:after="120"/>
        <w:ind w:firstLine="420"/>
      </w:pPr>
      <w:r>
        <w:t>Это слагаемое уменьшает вырождение концептов в слишком близкие по смыслу представления.</w:t>
      </w:r>
    </w:p>
    <w:p>
      <w:pPr>
        <w:spacing w:after="120"/>
        <w:ind w:firstLine="420"/>
      </w:pPr>
      <w:r>
        <w:t>В статье полезно пояснять, что благодаря такой функции потерь модель оптимизируется не только по качеству прогноза, но и по структурной интерпретируемости.</w:t>
      </w:r>
    </w:p>
    <w:p>
      <w:pPr>
        <w:pStyle w:val="Heading1"/>
      </w:pPr>
      <w:r>
        <w:rPr>
          <w:rFonts w:ascii="Times New Roman" w:hAnsi="Times New Roman" w:eastAsia="Times New Roman"/>
        </w:rPr>
        <w:t>Этапность обучения</w:t>
      </w:r>
    </w:p>
    <w:p>
      <w:pPr>
        <w:spacing w:after="120"/>
        <w:ind w:firstLine="420"/>
      </w:pPr>
      <w:r>
        <w:t>Для глубокого нечеткого контура особенно важно поэтапное обучение. В содержательной форме его можно описывать так.</w:t>
      </w:r>
    </w:p>
    <w:p>
      <w:pPr>
        <w:spacing w:after="120"/>
        <w:ind w:firstLine="420"/>
      </w:pPr>
      <w:r>
        <w:t>Сначала выполняется начальная инициализация параметров функций принадлежности и локальных правиловых блоков. Затем проводится поэтапное предварительное обучение, в ходе которого отдельные уровни или блоки получают стартовые настройки до полной совместной оптимизации. После этого выполняется объединенное дообучение всей модели, при котором параметры функций принадлежности, параметры правил и параметры внутренних представлений оптимизируются совместно.</w:t>
      </w:r>
    </w:p>
    <w:p>
      <w:pPr>
        <w:spacing w:after="120"/>
        <w:ind w:firstLine="420"/>
      </w:pPr>
      <w:r>
        <w:t>Если в статье потребуется более техническое описание, можно говорить о четырех последовательных фазах: начальная инициализация, локальное предварительное обучение, пересборка или уточнение правиловой структуры, совместное дообучение.</w:t>
      </w:r>
    </w:p>
    <w:p>
      <w:pPr>
        <w:spacing w:after="120"/>
        <w:ind w:firstLine="420"/>
      </w:pPr>
      <w:r>
        <w:t>Для плоского режима обучающий контур проще. Там достаточно начальной инициализации с последующим дообучением. Именно поэтому сравнение плоского и глубокого режимов является еще и сравнением двух разных уровней структурной сложности.</w:t>
      </w:r>
    </w:p>
    <w:p>
      <w:pPr>
        <w:pStyle w:val="Heading1"/>
      </w:pPr>
      <w:r>
        <w:rPr>
          <w:rFonts w:ascii="Times New Roman" w:hAnsi="Times New Roman" w:eastAsia="Times New Roman"/>
        </w:rPr>
        <w:t>Пространственный контур</w:t>
      </w:r>
    </w:p>
    <w:p>
      <w:pPr>
        <w:spacing w:after="120"/>
        <w:ind w:firstLine="420"/>
      </w:pPr>
      <w:r>
        <w:t>Если требуется раскрыть пространственное направление, его следует описывать аккуратно и без переобещания. Пусть вход задается тензором признаков</w:t>
      </w:r>
    </w:p>
    <w:p>
      <w:pPr>
        <w:spacing w:after="120"/>
        <w:ind w:firstLine="420"/>
      </w:pPr>
      <w:r>
        <w:t>`X ∈ R^(H×W×C)`.</w:t>
      </w:r>
    </w:p>
    <w:p>
      <w:pPr>
        <w:spacing w:after="120"/>
        <w:ind w:firstLine="420"/>
      </w:pPr>
      <w:r>
        <w:t>Тогда локальный нечеткий сверточный отклик можно записать как</w:t>
      </w:r>
    </w:p>
    <w:p>
      <w:pPr>
        <w:spacing w:after="120"/>
        <w:ind w:firstLine="420"/>
      </w:pPr>
      <w:r>
        <w:t>`u_m(u,v) = Σ_((a,b,c) ∈ Ω) κ_(mabc) · μ_(mabc)( X_(u+a, v+b, c) )`,</w:t>
      </w:r>
    </w:p>
    <w:p>
      <w:pPr>
        <w:spacing w:after="120"/>
        <w:ind w:firstLine="420"/>
      </w:pPr>
      <w:r>
        <w:t>где `Ω` задает локальное окно, `κ_(mabc)` являются обучаемыми весами, а `μ_(mabc)` описывают локальные функции принадлежности.</w:t>
      </w:r>
    </w:p>
    <w:p>
      <w:pPr>
        <w:spacing w:after="120"/>
        <w:ind w:firstLine="420"/>
      </w:pPr>
      <w:r>
        <w:t>В текущей версии статьи этот модуль следует трактовать как расширяемый пространственный каркас, согласованный с общей архитектурой платформы. Его не нужно подавать как уже полностью проверенный прикладной модуль для пространственных изображений.</w:t>
      </w:r>
    </w:p>
    <w:p>
      <w:pPr>
        <w:pStyle w:val="Heading1"/>
      </w:pPr>
      <w:r>
        <w:rPr>
          <w:rFonts w:ascii="Times New Roman" w:hAnsi="Times New Roman" w:eastAsia="Times New Roman"/>
        </w:rPr>
        <w:t>Интерпретация решения</w:t>
      </w:r>
    </w:p>
    <w:p>
      <w:pPr>
        <w:spacing w:after="120"/>
        <w:ind w:firstLine="420"/>
      </w:pPr>
      <w:r>
        <w:t>Одним из сильнейших аспектов RuFLEX является внутренняя интерпретация решения. Для финального слоя локальный вклад `r`-го правила можно задать как</w:t>
      </w:r>
    </w:p>
    <w:p>
      <w:pPr>
        <w:spacing w:after="120"/>
        <w:ind w:firstLine="420"/>
      </w:pPr>
      <w:r>
        <w:t>`C_r(x) = \bar{w}_r^(L)(x) · g_r^(L)( h^(L-1)(x) )`.</w:t>
      </w:r>
    </w:p>
    <w:p>
      <w:pPr>
        <w:spacing w:after="120"/>
        <w:ind w:firstLine="420"/>
      </w:pPr>
      <w:r>
        <w:t>Если правило относится к конкретному скрытому концепту `q`, то вклад концепта может быть записан как</w:t>
      </w:r>
    </w:p>
    <w:p>
      <w:pPr>
        <w:spacing w:after="120"/>
        <w:ind w:firstLine="420"/>
      </w:pPr>
      <w:r>
        <w:t>`C_q^(l)(x) = Σ_(r ∈ B_q^(l)) C_r^(l)(x)`.</w:t>
      </w:r>
    </w:p>
    <w:p>
      <w:pPr>
        <w:spacing w:after="120"/>
        <w:ind w:firstLine="420"/>
      </w:pPr>
      <w:r>
        <w:t>После этого вклад исходного признака `x_i` восстанавливается через агрегирование вкладов всех правил и блоков, в которых использовалась соответствующая переменная. В самом простом виде это можно описывать как</w:t>
      </w:r>
    </w:p>
    <w:p>
      <w:pPr>
        <w:spacing w:after="120"/>
        <w:ind w:firstLine="420"/>
      </w:pPr>
      <w:r>
        <w:t>`C_i(x) = Σ_(l,q) Σ_(r ∈ B_q^(l), i ∈ I_r) ω_(ir)^(l) C_r^(l)(x)`,</w:t>
      </w:r>
    </w:p>
    <w:p>
      <w:pPr>
        <w:spacing w:after="120"/>
        <w:ind w:firstLine="420"/>
      </w:pPr>
      <w:r>
        <w:t>где `I_r` обозначает множество признаков, входящих в `r`-е правило, а `ω_(ir)^(l)` задают способ распределения вклада правила между его входными переменными.</w:t>
      </w:r>
    </w:p>
    <w:p>
      <w:pPr>
        <w:spacing w:after="120"/>
        <w:ind w:firstLine="420"/>
      </w:pPr>
      <w:r>
        <w:t>Для статьи важно не столько точное частное выражение для `ω_(ir)^(l)`, сколько сама логика: вклад факторов восстанавливается из внутренней структуры модели, а не оценивается только внешним постфактум-анализом.</w:t>
      </w:r>
    </w:p>
    <w:p>
      <w:pPr>
        <w:pStyle w:val="Heading1"/>
      </w:pPr>
      <w:r>
        <w:rPr>
          <w:rFonts w:ascii="Times New Roman" w:hAnsi="Times New Roman" w:eastAsia="Times New Roman"/>
        </w:rPr>
        <w:t>Как объяснять глубину простым научным языком</w:t>
      </w:r>
    </w:p>
    <w:p>
      <w:pPr>
        <w:spacing w:after="120"/>
        <w:ind w:firstLine="420"/>
      </w:pPr>
      <w:r>
        <w:t>Если архитектурный раздел нужно сделать одновременно научным и читаемым, глубину можно объяснять так. Каждый скрытый уровень RuFLEX не просто преобразует набор чисел. Он строит новое нечеткое пространство признаков, в котором каждая координата имеет происхождение в виде локального набора правил. Поэтому увеличение глубины означает увеличение числа последовательных уровней интерпретируемого концептуального переописания объекта. За счет этого платформа может одновременно наращивать выразительность модели и сохранять возможность анализа решения на уровне правил и факторов.</w:t>
      </w:r>
    </w:p>
    <w:p>
      <w:pPr>
        <w:spacing w:after="120"/>
        <w:ind w:firstLine="420"/>
      </w:pPr>
      <w:r>
        <w:t>Эта формулировка особенно полезна для введения и заключения, потому что она связывает математическую глубину с содержательной интерпретируемостью.</w:t>
      </w:r>
    </w:p>
    <w:p>
      <w:pPr>
        <w:pStyle w:val="Heading1"/>
      </w:pPr>
      <w:r>
        <w:rPr>
          <w:rFonts w:ascii="Times New Roman" w:hAnsi="Times New Roman" w:eastAsia="Times New Roman"/>
        </w:rPr>
        <w:t>Какой эксперимент лучше всего подтверждает глубокий контур</w:t>
      </w:r>
    </w:p>
    <w:p>
      <w:pPr>
        <w:spacing w:after="120"/>
        <w:ind w:firstLine="420"/>
      </w:pPr>
      <w:r>
        <w:t>Центральным экспериментом статьи должна оставаться задача `california_housing_regression`. Именно здесь глубокий режим дает лучший количественный результат:</w:t>
      </w:r>
    </w:p>
    <w:p>
      <w:pPr>
        <w:spacing w:after="120"/>
        <w:ind w:firstLine="420"/>
      </w:pPr>
      <w:r>
        <w:t>`test_rmse = 0.795757`,</w:t>
      </w:r>
    </w:p>
    <w:p>
      <w:pPr>
        <w:spacing w:after="120"/>
        <w:ind w:firstLine="420"/>
      </w:pPr>
      <w:r>
        <w:t>`test_mae = 0.593770`,</w:t>
      </w:r>
    </w:p>
    <w:p>
      <w:pPr>
        <w:spacing w:after="120"/>
        <w:ind w:firstLine="420"/>
      </w:pPr>
      <w:r>
        <w:t>`test_r2 = 0.507159`.</w:t>
      </w:r>
    </w:p>
    <w:p>
      <w:pPr>
        <w:spacing w:after="120"/>
        <w:ind w:firstLine="420"/>
      </w:pPr>
      <w:r>
        <w:t>Для плоской базовой конфигурации значения хуже:</w:t>
      </w:r>
    </w:p>
    <w:p>
      <w:pPr>
        <w:spacing w:after="120"/>
        <w:ind w:firstLine="420"/>
      </w:pPr>
      <w:r>
        <w:t>`test_rmse = 0.890950`,</w:t>
      </w:r>
    </w:p>
    <w:p>
      <w:pPr>
        <w:spacing w:after="120"/>
        <w:ind w:firstLine="420"/>
      </w:pPr>
      <w:r>
        <w:t>`test_mae = 0.678868`,</w:t>
      </w:r>
    </w:p>
    <w:p>
      <w:pPr>
        <w:spacing w:after="120"/>
        <w:ind w:firstLine="420"/>
      </w:pPr>
      <w:r>
        <w:t>`test_r2 = 0.382192`.</w:t>
      </w:r>
    </w:p>
    <w:p>
      <w:pPr>
        <w:spacing w:after="120"/>
        <w:ind w:firstLine="420"/>
      </w:pPr>
      <w:r>
        <w:t>Для соавтора здесь важен главный вывод. На геоориентированной регрессионной задаче увеличение глубины в смысле последовательного формирования нечетких концептов дает содержательный выигрыш по качеству. Этот сюжет лучше всего поддерживает математическую и архитектурную часть статьи.</w:t>
      </w:r>
    </w:p>
    <w:p>
      <w:pPr>
        <w:pStyle w:val="Heading1"/>
      </w:pPr>
      <w:r>
        <w:rPr>
          <w:rFonts w:ascii="Times New Roman" w:hAnsi="Times New Roman" w:eastAsia="Times New Roman"/>
        </w:rPr>
        <w:t>Какой вывод делать по классификации</w:t>
      </w:r>
    </w:p>
    <w:p>
      <w:pPr>
        <w:spacing w:after="120"/>
        <w:ind w:firstLine="420"/>
      </w:pPr>
      <w:r>
        <w:t>На задаче `california_value_binary_geo` лучшей оказывается плоская интерпретируемая конфигурация:</w:t>
      </w:r>
    </w:p>
    <w:p>
      <w:pPr>
        <w:spacing w:after="120"/>
        <w:ind w:firstLine="420"/>
      </w:pPr>
      <w:r>
        <w:t>`test_accuracy = 0.746341`,</w:t>
      </w:r>
    </w:p>
    <w:p>
      <w:pPr>
        <w:spacing w:after="120"/>
        <w:ind w:firstLine="420"/>
      </w:pPr>
      <w:r>
        <w:t>`test_precision = 0.743073`,</w:t>
      </w:r>
    </w:p>
    <w:p>
      <w:pPr>
        <w:spacing w:after="120"/>
        <w:ind w:firstLine="420"/>
      </w:pPr>
      <w:r>
        <w:t>`test_recall = 0.735661`,</w:t>
      </w:r>
    </w:p>
    <w:p>
      <w:pPr>
        <w:spacing w:after="120"/>
        <w:ind w:firstLine="420"/>
      </w:pPr>
      <w:r>
        <w:t>`test_f1 = 0.739348`.</w:t>
      </w:r>
    </w:p>
    <w:p>
      <w:pPr>
        <w:spacing w:after="120"/>
        <w:ind w:firstLine="420"/>
      </w:pPr>
      <w:r>
        <w:t>Это не противоречит архитектурной логике статьи. Напротив, такой результат показывает, что RuFLEX не навязывает один и тот же модельный режим во всех постановках. Для регрессии выигрыш дает глубокое нечеткое формирование признаков. Для бинарной классификации лучший баланс качества и прозрачности может обеспечивать компактный плоский режим. Именно в этом и проявляется платформенная ценность RuFLEX.</w:t>
      </w:r>
    </w:p>
    <w:p>
      <w:pPr>
        <w:pStyle w:val="Heading1"/>
      </w:pPr>
      <w:r>
        <w:rPr>
          <w:rFonts w:ascii="Times New Roman" w:hAnsi="Times New Roman" w:eastAsia="Times New Roman"/>
        </w:rPr>
        <w:t>Что можно отдавать соавтору как главную рабочую формулу статьи</w:t>
      </w:r>
    </w:p>
    <w:p>
      <w:pPr>
        <w:spacing w:after="120"/>
        <w:ind w:firstLine="420"/>
      </w:pPr>
      <w:r>
        <w:t>Если нужна максимально краткая формула смысла платформы, ее можно выразить так.</w:t>
      </w:r>
    </w:p>
    <w:p>
      <w:pPr>
        <w:spacing w:after="120"/>
        <w:ind w:firstLine="420"/>
      </w:pPr>
      <w:r>
        <w:t>RuFLEX реализует последовательность</w:t>
      </w:r>
    </w:p>
    <w:p>
      <w:pPr>
        <w:spacing w:after="120"/>
        <w:ind w:firstLine="420"/>
      </w:pPr>
      <w:r>
        <w:t>`входные переменные -&gt; нечеткие термы -&gt; локальные правила -&gt; скрытые нечеткие концепты -&gt; решающий слой -&gt; интерпретация`.</w:t>
      </w:r>
    </w:p>
    <w:p>
      <w:pPr>
        <w:spacing w:after="120"/>
        <w:ind w:firstLine="420"/>
      </w:pPr>
      <w:r>
        <w:t>Если используется плоский режим, последовательность сокращается до</w:t>
      </w:r>
    </w:p>
    <w:p>
      <w:pPr>
        <w:spacing w:after="120"/>
        <w:ind w:firstLine="420"/>
      </w:pPr>
      <w:r>
        <w:t>`входные переменные -&gt; нечеткие термы -&gt; правила -&gt; решающий слой -&gt; интерпретация`.</w:t>
      </w:r>
    </w:p>
    <w:p>
      <w:pPr>
        <w:spacing w:after="120"/>
        <w:ind w:firstLine="420"/>
      </w:pPr>
      <w:r>
        <w:t>Если используется глубокий режим, между правилами и решающим слоем появляется каскад скрытых концептуальных уровней, каждый из которых строится как результат работы ограниченных локальных правиловых блоков.</w:t>
      </w:r>
    </w:p>
    <w:p>
      <w:pPr>
        <w:pStyle w:val="Heading1"/>
      </w:pPr>
      <w:r>
        <w:rPr>
          <w:rFonts w:ascii="Times New Roman" w:hAnsi="Times New Roman" w:eastAsia="Times New Roman"/>
        </w:rPr>
        <w:t>Готовый абзац для усиления архитектурного раздела</w:t>
      </w:r>
    </w:p>
    <w:p>
      <w:pPr>
        <w:spacing w:after="120"/>
        <w:ind w:firstLine="420"/>
      </w:pPr>
      <w:r>
        <w:t>Глубина в платформе RuFLEX понимается как последовательное построение скрытых нечетких концептов, а не как простое увеличение числа непрозрачных внутренних слоев. Каждый скрытый уровень формируется системой локальных правиловых блоков, использующих ограниченное число входов и ограниченное число правил. Это позволяет сохранять структурную интерпретируемость модели при переходе от исходного пространства признаков к более выразительному концептуальному представлению. В результате глубокий контур платформы сочетает два свойства, которые редко достигаются одновременно: повышенную выразительность и возможность анализа решения на уровне правил, концептов и факторов.</w:t>
      </w:r>
    </w:p>
    <w:p>
      <w:pPr>
        <w:pStyle w:val="Heading1"/>
      </w:pPr>
      <w:r>
        <w:rPr>
          <w:rFonts w:ascii="Times New Roman" w:hAnsi="Times New Roman" w:eastAsia="Times New Roman"/>
        </w:rPr>
        <w:t>Готовый абзац для усиления математического раздела</w:t>
      </w:r>
    </w:p>
    <w:p>
      <w:pPr>
        <w:spacing w:after="120"/>
        <w:ind w:firstLine="420"/>
      </w:pPr>
      <w:r>
        <w:t>Пусть объект описывается нормализованным вектором признаков `z^(0)(x)`. Для каждого уровня модели вычисляются активации локальных правил `w_r^(l)(x)` и их нормированные веса `\bar{w}_r^(l)(x)`, после чего локальные правила агрегируются в скрытые нечеткие концепты `h_q^(l)(x)`. Последовательность таких преобразований формирует каскад концептуальных представлений `h^(1)(x), h^(2)(x), ..., h^(L-1)(x)`, который завершается решающим слоем `\hat{y}(x)`. Совместное обучение параметров функций принадлежности, правиловых заключений и внутренних представлений осуществляется путем минимизации регуляризованного функционала, включающего целевую функцию задачи, штрафы на сложность правиловой структуры, перекрытие термов и различимость скрытых концептов.</w:t>
      </w:r>
    </w:p>
    <w:p>
      <w:pPr>
        <w:pStyle w:val="Heading1"/>
      </w:pPr>
      <w:r>
        <w:rPr>
          <w:rFonts w:ascii="Times New Roman" w:hAnsi="Times New Roman" w:eastAsia="Times New Roman"/>
        </w:rPr>
        <w:t>Главный вывод для соавтора</w:t>
      </w:r>
    </w:p>
    <w:p>
      <w:pPr>
        <w:spacing w:after="120"/>
        <w:ind w:firstLine="420"/>
      </w:pPr>
      <w:r>
        <w:t>Если нужно доводить статью именно как сильную журнальную работу, центральная мысль должна оставаться неизменной. RuFLEX — это платформа, в которой глубина означает последовательное построение интерпретируемых нечетких концептов. Локальные правиловые блоки служат механизмом контроля сложности и основой для скрытых представлений. Совместное обучение охватывает функции принадлежности, правила и внутренние концептуальные уровни. Интерпретация восстанавливается из внутренней структуры модели. Регрессионный эксперимент показывает выигрыш глубокого режима. Классификационный эксперимент подтверждает ценность платформы как среды сравнения архитектур. Именно эта линия делает статью согласованной, содержательной и убедительной.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