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RuFLEX: гибридная платформа глубокого нечеткого обучения для геоданных с интерпретируемым анализом правил, факторов и скрытых концептов</w:t>
      </w:r>
    </w:p>
    <w:p>
      <w:pPr>
        <w:jc w:val="center"/>
      </w:pPr>
      <w:r>
        <w:t>И. О. Автор1, И. О. Автор2</w:t>
      </w:r>
    </w:p>
    <w:p>
      <w:pPr>
        <w:jc w:val="center"/>
      </w:pPr>
      <w:r>
        <w:t>Организация, город, страна</w:t>
      </w:r>
    </w:p>
    <w:p>
      <w:pPr>
        <w:jc w:val="center"/>
      </w:pPr>
      <w:r>
        <w:t>E-mail: author1@example.com, author2@example.com</w:t>
      </w:r>
    </w:p>
    <w:p>
      <w:pPr>
        <w:jc w:val="center"/>
      </w:pPr>
      <w:r>
        <w:t>ORCID: 0000-0000-0000-0000, 0000-0000-0000-0000</w:t>
      </w:r>
    </w:p>
    <w:p>
      <w:r>
        <w:rPr>
          <w:b/>
        </w:rPr>
        <w:t>Аннотация</w:t>
      </w:r>
    </w:p>
    <w:p>
      <w:r>
        <w:t>В работе представлена платформа RuFLEX для гибридного глубокого нечеткого обучения, ориентированная на обработку геоданных в задачах, где высокая прогностическая точность должна сочетаться с интерпретируемостью, экспертной верифицируемостью и прозрачностью логики вывода. В отличие от традиционных непрозрачных подходов предложенная архитектура объединяет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 в едином дифференцируемом вычислительном контуре, реализованном в экосистеме PyTorch. Модельный контур поддерживает совместное обучение параметров функций принадлежности, базы правил и глубоких представлений признаков при сохранении семантически интерпретируемого вывода на уровне факторов и правил. Платформа включает программное ядро в виде программного интерфейса Python, веб-интерфейс визуального проектирования моделей и панель интерпретации, обеспечивающую анализ функций принадлежности, структуры правил, скрытых нечетких концептов и вклада факторов в итоговое решение.</w:t>
      </w:r>
    </w:p>
    <w:p>
      <w:r>
        <w:rPr>
          <w:i/>
        </w:rPr>
        <w:t xml:space="preserve">Ключевые слова: </w:t>
      </w:r>
      <w:r>
        <w:t>глубокое нечеткое обучение; гибридные нейро-нечеткие модели; глубокое нечеткое формирование признаков; геоаналитика; пространственная классификация; объяснимое машинное обучение</w:t>
      </w:r>
    </w:p>
    <w:p>
      <w:r>
        <w:rPr>
          <w:b/>
        </w:rPr>
        <w:t>1. Введение</w:t>
      </w:r>
    </w:p>
    <w:p>
      <w:r>
        <w:t>В задачах геоаналитики, пространственной классификации, прогнозирования и интеллектуальной поддержки принятия решений высокая точность предсказания не может рассматриваться в отрыве от интерпретируемости модели. Для прикладных постановок важны не только итоговые значения метрик, но и прозрачность логики вывода, возможность экспертной проверки базы правил и анализ того, какие факторы определили результат на конкретном объекте. По этой причине непрозрачные архитектуры, хотя и способны давать сильное качество прогноза, не решают задачу полностью. Нечеткие и нейро-нечеткие методы, напротив, позволяют связать обучаемое представление признаков с семантически понятным выводом и потому остаются одним из наиболее перспективных направлений в задачах такого типа [1].</w:t>
      </w:r>
    </w:p>
    <w:p>
      <w:r>
        <w:t>Однако современное состояние области требует уже не отдельной модели, а целостной программной среды. Если исследователь хочет сравнить плоскую интерпретируемую конфигурацию и более глубокий контур формирования признаков, ему недостаточно иметь только вычислительное ядро. Нужны средства задания переменных, термов, функций принадлежности и правил, средства обучения, визуального проектирования, воспроизводимой постановки эксперимента и содержательной интерпретации результатов. Именно эта логика лежит в основе платформы RuFLEX, которая рассматривается в работе как расширяемая среда для гибридного глубокого нечеткого обучения, а не как единичный вариант нейро-нечеткой сети.</w:t>
      </w:r>
    </w:p>
    <w:p>
      <w:r>
        <w:t>Цель статьи состоит в описании архитектуры платформы RuFLEX, формализации ее модельного контура и прикладной демонстрации работы на задачах обработки геоданных. При этом особое внимание уделяется модульной структуре платформы, совместному обучению параметров функций принадлежности, базы правил и внутренних представлений, а также средствам интерпретации, которые позволяют анализировать поведение модели на уровне признаков, правил и скрытых нечетких концептов.</w:t>
      </w:r>
    </w:p>
    <w:p>
      <w:r>
        <w:rPr>
          <w:b/>
        </w:rPr>
        <w:t>2. Архитектура и модульный состав платформы</w:t>
      </w:r>
    </w:p>
    <w:p>
      <w:r>
        <w:t>RuFLEX реализована как платформенный слой поверх вычислительного ядра `ruanfis`, происходящего из репозитория `deep-neuro-fuzzy` [7]. Такое построение выбрано сознательно. Вычислительное ядро отвечает за дифференцируемые нечеткие преобразования, вычисление активаций правил, базовые процедуры обучения и исполнение модельного контура. Платформенный слой развивает собственные сущности проекта, сериализацию, интерфейсную оболочку, средства визуализации, управление экспериментами и контур интерпретации. За счет этого сохраняется преемственность глубокого нечеткого ядра и одновременно появляется возможность развивать самостоятельную исследовательскую и прикладную среду.</w:t>
      </w:r>
    </w:p>
    <w:p>
      <w:r>
        <w:t>Архитектура платформы включает несколько взаимосвязанных модулей. Первый модуль отвечает за описание данных и предметной структуры задачи. В нем задаются входные и выходные переменные, диапазоны их значений, роли признаков, режимы нормализации и принадлежность переменной к входному, скрытому или выходному уровню. Второй модуль образуют лингвистические термы и функции принадлежности. Для каждой переменной могут быть заданы гауссовы, колоколообразные, треугольные и трапециевидные функции принадлежности, причем основные режимы обучения используют дифференцируемые семейства, удобные для совместной оптимизации.</w:t>
      </w:r>
    </w:p>
    <w:p>
      <w:r>
        <w:t>Третий модуль представляет собой правиловую подсистему. В ней описываются антецеденты, типы агрегации, веса правил, параметры заключений, локальные базы правил и ограниченные блоки, препятствующие взрывному росту числа правил. Четвертый модуль отвечает за построение представлений. Именно здесь размещаются плоские интерпретируемые конфигурации и контуры глубокого нечеткого формирования признаков, в которых скрытые уровни служат средством последовательного построения новых интерпретируемых концептов. Пятый модуль образует подсистема обучения. Она объединяет начальную инициализацию, поэтапное обучение, циклы уточнения, совместную оптимизацию параметров функций принадлежности, правил и внутренних представлений, а также средства журналирования и воспроизводимости эксперимента.</w:t>
      </w:r>
    </w:p>
    <w:p>
      <w:r>
        <w:t>Шестой модуль связан с объяснимостью. Он обеспечивает визуализацию функций принадлежности, анализ структуры правил, активаций и нормированных весов, анализ вклада правил в скрытые концепты и вклада скрытых концептов в итоговый ответ. На уровне платформенных сервисов этот модуль дополняется формированием отчетов, экспортом артефактов эксперимента, панелью интерпретации и средствами подготовки исследовательских материалов для статьи. Наконец, архитектура платформы с самого начала проектируется так, чтобы в нее мог быть включен пространственный контур глубоких нечетких сверток. В текущей версии он задан как расширяемый каркас для работы с пространственно организованными признаками и геоориентированными задачами.</w:t>
      </w:r>
    </w:p>
    <w:p>
      <w:r>
        <w:drawing>
          <wp:inline xmlns:a="http://schemas.openxmlformats.org/drawingml/2006/main" xmlns:pic="http://schemas.openxmlformats.org/drawingml/2006/picture">
            <wp:extent cx="5852160" cy="3230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1_ruflex_platfor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Схема 1. Общая архитектура RuFLEX: вычислительное ядро, платформенный слой и исследовательские сервисы.</w:t>
      </w:r>
    </w:p>
    <w:p>
      <w:r>
        <w:drawing>
          <wp:inline xmlns:a="http://schemas.openxmlformats.org/drawingml/2006/main" xmlns:pic="http://schemas.openxmlformats.org/drawingml/2006/picture">
            <wp:extent cx="5852160" cy="3230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2_model_cont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Схема 2. Модельный контур RuFLEX: плоская модель, глубокое нечеткое формирование признаков и пространственный каркас.</w:t>
      </w:r>
    </w:p>
    <w:p>
      <w:r>
        <w:drawing>
          <wp:inline xmlns:a="http://schemas.openxmlformats.org/drawingml/2006/main" xmlns:pic="http://schemas.openxmlformats.org/drawingml/2006/picture">
            <wp:extent cx="5852160" cy="3230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3_explainability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30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Схема 3. Контур интерпретации: от фаззификации объекта к правилам, концептам и отчетам.</w:t>
      </w:r>
    </w:p>
    <w:p>
      <w:r>
        <w:rPr>
          <w:b/>
        </w:rPr>
        <w:t>3. Математическая структура модельного контура</w:t>
      </w:r>
    </w:p>
    <w:p>
      <w:r>
        <w:t>Пусть входной объект описывается вектором признаков x = (x_1, ..., x_d). Для i-й переменной и j-го терма задается функция принадлежности μ_ij(x_i; θ_ij), где θ_ij обозначает набор настраиваемых параметров. На первом этапе модельный контур выполняет фаззификацию исходных признаков и формирует набор локальных степеней принадлежности.</w:t>
      </w:r>
    </w:p>
    <w:p>
      <w:r>
        <w:t>Для r-го правила на уровне l его ненормированная активация вычисляется как w_r^(l)(x) = ∏_(m=1)^(k_r) μ_(i_m j_m)^(l)( z_(i_m)^(l-1)(x); θ_(i_m j_m)^(l) ), где z^(l-1)(x) обозначает представление предыдущего уровня, а k_r есть длина правила. После этого вводится нормированный вес правила \bar{w}_r^(l)(x) = w_r^(l)(x) / ( Σ_s w_s^(l)(x) + ε ), где ε &gt; 0 предотвращает вырождение знаменателя.</w:t>
      </w:r>
    </w:p>
    <w:p>
      <w:r>
        <w:t>Если речь идет о плоской интерпретируемой конфигурации, то нормированные веса правил непосредственно участвуют в вычислении отклика решающего слоя. В более общем случае каждый локальный блок правил порождает новый скрытый нечеткий концепт. Для q-го концепта на уровне l используется выражение h_q^(l)(x) = Σ_(r ∈ B_q^(l)) \bar{w}_r^(l)(x) · g_r^(l)( z^(l-1)(x) ), а итоговый ответ вычисляется как \hat{y}(x) = Σ_(r ∈ B^(L)) \bar{w}_r^(L)(x) · g_r^(L)( h^(L-1)(x) ). Такое представление позволяет сохранить интерпретируемость на уровне правил и одновременно наращивать выразительность модели за счет последовательного построения скрытых нечетких концептов.</w:t>
      </w:r>
    </w:p>
    <w:p>
      <w:r>
        <w:t>Совместное обучение параметров платформы задается функционалом L = L_задачи + λ_1 L_разреженности + λ_2 L_перекрытия + λ_3 L_покрытия + λ_4 L_концептов, где L_задачи соответствует основной метрике качества, а остальные слагаемые регулируют компактность базы правил, структуру термов и различимость скрытых концептов. Для пространственного контура вводится тензор признаков X ∈ R^(H×W×C), а нечеткий сверточный отклик m-го ядра на позиции (u, v) записывается в виде u_m(u, v) = Σ_((a,b,c) ∈ Ω) κ_(mabc) · μ_(mabc)( X_(u+a, v+b, c) ).</w:t>
      </w:r>
    </w:p>
    <w:p>
      <w:r>
        <w:t>Интерпретация результата строится через вклад правил и факторов. Для r-го правила в финальном слое локальный вклад может быть оценен как C_r(x) = \bar{w}_r^(L)(x) · g_r^(L)( h^(L-1)(x) ), а вклад признаков и скрытых концептов восстанавливается через агрегирование по активным правилам и по тем блокам, в которых эти признаки участвовали. В результате интерпретация опирается не на внешний анализ после обучения, а на внутреннюю структуру самого модельного контура.</w:t>
      </w:r>
    </w:p>
    <w:p>
      <w:r>
        <w:rPr>
          <w:b/>
        </w:rPr>
        <w:t>4. Экспериментальная постановка</w:t>
      </w:r>
    </w:p>
    <w:p>
      <w:r>
        <w:t>Для прикладной проверки платформы использованы две задачи обработки геоданных на основе набора `sklearn.fetch_california_housing` [3, 4]. Первая задача, California Housing Regression, сохраняет пространственные признаки `Latitude` и `Longitude` и использует целевую переменную `MedHouseVal`. Вторая задача, California Value Binary Geo, строится на том же источнике данных, но в постановке бинарной классификации, где целевая переменная `HighValue` определяется относительно медианы `MedHouseVal`. В обеих задачах использовались подвыборки объема 4096 наблюдений, что обеспечило сопоставимость экспериментального контура.</w:t>
      </w:r>
    </w:p>
    <w:p>
      <w:r>
        <w:t>Сравнивались четыре конфигурации платформы: плоская базовая конфигурация, плоская интерпретируемая конфигурация, демонстрационный глубокий режим и расширенный глубокий режим. Такое сравнение позволяет проследить, как изменяется качество при переходе от компактной интерпретируемой конфигурации к более глубокому контуру формирования признаков. Все эксперименты выполнялись в воспроизводимом исследовательском контуре, который автоматически сохраняет метрики, таблицы результатов, графики, панели интерпретации и текстовые отчеты.</w:t>
      </w:r>
    </w:p>
    <w:p>
      <w:r>
        <w:rPr>
          <w:b/>
        </w:rPr>
        <w:t>5. Результаты и интерпретация</w:t>
      </w:r>
    </w:p>
    <w:p>
      <w:r>
        <w:t>Результаты на задаче California Housing Regression сведены в таблицу 1. Лучшей оказалась конфигурация «Расширенный глубокий режим», для которой получены `test_rmse = 0.795757`, `test_mae = 0.593770` и `test_r2 = 0.507159`. Для конфигурации «Плоская базовая конфигурация» соответствующие значения составили `test_rmse = 0.890950`, `test_mae = 0.678868` и `test_r2 = 0.382192`. Следовательно, в регрессионной постановке глубокий нечеткий контур формирования признаков дает измеримое улучшение качества по сравнению с плоской базовой моделью.</w:t>
      </w:r>
    </w:p>
    <w:p>
      <w:r>
        <w:t>Результаты на задаче California Value Binary Geo приведены в таблице 2. Здесь лучшей оказалась конфигурация «Плоская интерпретируемая конфигурация», для которой получены `test_accuracy = 0.746341`, `test_precision = 0.743073`, `test_recall = 0.735661` и `test_f1 = 0.739348`. Этот результат особенно важен для общей логики статьи, поскольку показывает, что RuFLEX не навязывает единственную оптимальную архитектуру. Для одной задачи выигрыш дает более глубокое представление, а для другой оказывается предпочтительной компактная и более прозрачная конфигурация.</w:t>
      </w:r>
    </w:p>
    <w:p>
      <w:pPr>
        <w:jc w:val="center"/>
      </w:pPr>
      <w:r>
        <w:rPr>
          <w:b/>
        </w:rPr>
        <w:t>Таблица 1. Сравнение конфигураций на задаче регрессии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Конфигурация</w:t>
            </w:r>
          </w:p>
        </w:tc>
        <w:tc>
          <w:tcPr>
            <w:tcW w:type="dxa" w:w="2160"/>
          </w:tcPr>
          <w:p>
            <w:r>
              <w:t>RMSE на тесте</w:t>
            </w:r>
          </w:p>
        </w:tc>
        <w:tc>
          <w:tcPr>
            <w:tcW w:type="dxa" w:w="2160"/>
          </w:tcPr>
          <w:p>
            <w:r>
              <w:t>MAE на тесте</w:t>
            </w:r>
          </w:p>
        </w:tc>
        <w:tc>
          <w:tcPr>
            <w:tcW w:type="dxa" w:w="2160"/>
          </w:tcPr>
          <w:p>
            <w:r>
              <w:t>R2 на тесте</w:t>
            </w:r>
          </w:p>
        </w:tc>
      </w:tr>
      <w:tr>
        <w:tc>
          <w:tcPr>
            <w:tcW w:type="dxa" w:w="2160"/>
          </w:tcPr>
          <w:p>
            <w:r>
              <w:t>Плоская базовая конфигурация</w:t>
            </w:r>
          </w:p>
        </w:tc>
        <w:tc>
          <w:tcPr>
            <w:tcW w:type="dxa" w:w="2160"/>
          </w:tcPr>
          <w:p>
            <w:r>
              <w:t>0.890950</w:t>
            </w:r>
          </w:p>
        </w:tc>
        <w:tc>
          <w:tcPr>
            <w:tcW w:type="dxa" w:w="2160"/>
          </w:tcPr>
          <w:p>
            <w:r>
              <w:t>0.678868</w:t>
            </w:r>
          </w:p>
        </w:tc>
        <w:tc>
          <w:tcPr>
            <w:tcW w:type="dxa" w:w="2160"/>
          </w:tcPr>
          <w:p>
            <w:r>
              <w:t>0.382192</w:t>
            </w:r>
          </w:p>
        </w:tc>
      </w:tr>
      <w:tr>
        <w:tc>
          <w:tcPr>
            <w:tcW w:type="dxa" w:w="2160"/>
          </w:tcPr>
          <w:p>
            <w:r>
              <w:t>Плоская интерпретируемая конфигурация</w:t>
            </w:r>
          </w:p>
        </w:tc>
        <w:tc>
          <w:tcPr>
            <w:tcW w:type="dxa" w:w="2160"/>
          </w:tcPr>
          <w:p>
            <w:r>
              <w:t>1.115952</w:t>
            </w:r>
          </w:p>
        </w:tc>
        <w:tc>
          <w:tcPr>
            <w:tcW w:type="dxa" w:w="2160"/>
          </w:tcPr>
          <w:p>
            <w:r>
              <w:t>0.880786</w:t>
            </w:r>
          </w:p>
        </w:tc>
        <w:tc>
          <w:tcPr>
            <w:tcW w:type="dxa" w:w="2160"/>
          </w:tcPr>
          <w:p>
            <w:r>
              <w:t>0.030747</w:t>
            </w:r>
          </w:p>
        </w:tc>
      </w:tr>
      <w:tr>
        <w:tc>
          <w:tcPr>
            <w:tcW w:type="dxa" w:w="2160"/>
          </w:tcPr>
          <w:p>
            <w:r>
              <w:t>Демонстрационный глубокий режим</w:t>
            </w:r>
          </w:p>
        </w:tc>
        <w:tc>
          <w:tcPr>
            <w:tcW w:type="dxa" w:w="2160"/>
          </w:tcPr>
          <w:p>
            <w:r>
              <w:t>0.816314</w:t>
            </w:r>
          </w:p>
        </w:tc>
        <w:tc>
          <w:tcPr>
            <w:tcW w:type="dxa" w:w="2160"/>
          </w:tcPr>
          <w:p>
            <w:r>
              <w:t>0.610628</w:t>
            </w:r>
          </w:p>
        </w:tc>
        <w:tc>
          <w:tcPr>
            <w:tcW w:type="dxa" w:w="2160"/>
          </w:tcPr>
          <w:p>
            <w:r>
              <w:t>0.481367</w:t>
            </w:r>
          </w:p>
        </w:tc>
      </w:tr>
      <w:tr>
        <w:tc>
          <w:tcPr>
            <w:tcW w:type="dxa" w:w="2160"/>
          </w:tcPr>
          <w:p>
            <w:r>
              <w:t>Расширенный глубокий режим</w:t>
            </w:r>
          </w:p>
        </w:tc>
        <w:tc>
          <w:tcPr>
            <w:tcW w:type="dxa" w:w="2160"/>
          </w:tcPr>
          <w:p>
            <w:r>
              <w:t>0.795757</w:t>
            </w:r>
          </w:p>
        </w:tc>
        <w:tc>
          <w:tcPr>
            <w:tcW w:type="dxa" w:w="2160"/>
          </w:tcPr>
          <w:p>
            <w:r>
              <w:t>0.593770</w:t>
            </w:r>
          </w:p>
        </w:tc>
        <w:tc>
          <w:tcPr>
            <w:tcW w:type="dxa" w:w="2160"/>
          </w:tcPr>
          <w:p>
            <w:r>
              <w:t>0.507159</w:t>
            </w:r>
          </w:p>
        </w:tc>
      </w:tr>
    </w:tbl>
    <w:p/>
    <w:p>
      <w:pPr>
        <w:jc w:val="center"/>
      </w:pPr>
      <w:r>
        <w:rPr>
          <w:b/>
        </w:rPr>
        <w:t>Таблица 2. Сравнение конфигураций на задаче классификации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Конфигурация</w:t>
            </w:r>
          </w:p>
        </w:tc>
        <w:tc>
          <w:tcPr>
            <w:tcW w:type="dxa" w:w="2160"/>
          </w:tcPr>
          <w:p>
            <w:r>
              <w:t>Точность</w:t>
            </w:r>
          </w:p>
        </w:tc>
        <w:tc>
          <w:tcPr>
            <w:tcW w:type="dxa" w:w="2160"/>
          </w:tcPr>
          <w:p>
            <w:r>
              <w:t>Точность положит. класса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Плоская базовая конфигурация</w:t>
            </w:r>
          </w:p>
        </w:tc>
        <w:tc>
          <w:tcPr>
            <w:tcW w:type="dxa" w:w="2160"/>
          </w:tcPr>
          <w:p>
            <w:r>
              <w:t>0.742683</w:t>
            </w:r>
          </w:p>
        </w:tc>
        <w:tc>
          <w:tcPr>
            <w:tcW w:type="dxa" w:w="2160"/>
          </w:tcPr>
          <w:p>
            <w:r>
              <w:t>0.739899</w:t>
            </w:r>
          </w:p>
        </w:tc>
        <w:tc>
          <w:tcPr>
            <w:tcW w:type="dxa" w:w="2160"/>
          </w:tcPr>
          <w:p>
            <w:r>
              <w:t>0.735257</w:t>
            </w:r>
          </w:p>
        </w:tc>
      </w:tr>
      <w:tr>
        <w:tc>
          <w:tcPr>
            <w:tcW w:type="dxa" w:w="2160"/>
          </w:tcPr>
          <w:p>
            <w:r>
              <w:t>Плоская интерпретируемая конфигурация</w:t>
            </w:r>
          </w:p>
        </w:tc>
        <w:tc>
          <w:tcPr>
            <w:tcW w:type="dxa" w:w="2160"/>
          </w:tcPr>
          <w:p>
            <w:r>
              <w:t>0.746341</w:t>
            </w:r>
          </w:p>
        </w:tc>
        <w:tc>
          <w:tcPr>
            <w:tcW w:type="dxa" w:w="2160"/>
          </w:tcPr>
          <w:p>
            <w:r>
              <w:t>0.743073</w:t>
            </w:r>
          </w:p>
        </w:tc>
        <w:tc>
          <w:tcPr>
            <w:tcW w:type="dxa" w:w="2160"/>
          </w:tcPr>
          <w:p>
            <w:r>
              <w:t>0.739348</w:t>
            </w:r>
          </w:p>
        </w:tc>
      </w:tr>
      <w:tr>
        <w:tc>
          <w:tcPr>
            <w:tcW w:type="dxa" w:w="2160"/>
          </w:tcPr>
          <w:p>
            <w:r>
              <w:t>Демонстрационный глубокий режим</w:t>
            </w:r>
          </w:p>
        </w:tc>
        <w:tc>
          <w:tcPr>
            <w:tcW w:type="dxa" w:w="2160"/>
          </w:tcPr>
          <w:p>
            <w:r>
              <w:t>0.739024</w:t>
            </w:r>
          </w:p>
        </w:tc>
        <w:tc>
          <w:tcPr>
            <w:tcW w:type="dxa" w:w="2160"/>
          </w:tcPr>
          <w:p>
            <w:r>
              <w:t>0.724221</w:t>
            </w:r>
          </w:p>
        </w:tc>
        <w:tc>
          <w:tcPr>
            <w:tcW w:type="dxa" w:w="2160"/>
          </w:tcPr>
          <w:p>
            <w:r>
              <w:t>0.738386</w:t>
            </w:r>
          </w:p>
        </w:tc>
      </w:tr>
      <w:tr>
        <w:tc>
          <w:tcPr>
            <w:tcW w:type="dxa" w:w="2160"/>
          </w:tcPr>
          <w:p>
            <w:r>
              <w:t>Расширенный глубокий режим</w:t>
            </w:r>
          </w:p>
        </w:tc>
        <w:tc>
          <w:tcPr>
            <w:tcW w:type="dxa" w:w="2160"/>
          </w:tcPr>
          <w:p>
            <w:r>
              <w:t>0.743902</w:t>
            </w:r>
          </w:p>
        </w:tc>
        <w:tc>
          <w:tcPr>
            <w:tcW w:type="dxa" w:w="2160"/>
          </w:tcPr>
          <w:p>
            <w:r>
              <w:t>0.741772</w:t>
            </w:r>
          </w:p>
        </w:tc>
        <w:tc>
          <w:tcPr>
            <w:tcW w:type="dxa" w:w="2160"/>
          </w:tcPr>
          <w:p>
            <w:r>
              <w:t>0.736181</w:t>
            </w:r>
          </w:p>
        </w:tc>
      </w:tr>
    </w:tbl>
    <w:p/>
    <w:p>
      <w:r>
        <w:t>Содержательная ценность платформы определяется не только итоговыми метриками. Для лучших конфигураций автоматически формируются панели интерпретации, графики функций принадлежности, история обучения, представления наиболее активных правил, скрытых нечетких концептов и траекторий их формирования. Тем самым статья получает не только сводку численных результатов, но и структурный материал, позволяющий проследить, каким образом итоговый ответ модели связан с активированными правилами, степенями принадлежности и промежуточными концептами.</w:t>
      </w:r>
    </w:p>
    <w:p>
      <w:r>
        <w:drawing>
          <wp:inline xmlns:a="http://schemas.openxmlformats.org/drawingml/2006/main" xmlns:pic="http://schemas.openxmlformats.org/drawingml/2006/picture">
            <wp:extent cx="5486400" cy="2157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regression_bench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Сравнение конфигураций платформы на задаче California Housing Regression.</w:t>
      </w:r>
    </w:p>
    <w:p>
      <w:r>
        <w:drawing>
          <wp:inline xmlns:a="http://schemas.openxmlformats.org/drawingml/2006/main" xmlns:pic="http://schemas.openxmlformats.org/drawingml/2006/picture">
            <wp:extent cx="5486400" cy="38853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regression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2. Панель интерпретации для лучшей конфигурации на задаче регрессии.</w:t>
      </w:r>
    </w:p>
    <w:p>
      <w:r>
        <w:drawing>
          <wp:inline xmlns:a="http://schemas.openxmlformats.org/drawingml/2006/main" xmlns:pic="http://schemas.openxmlformats.org/drawingml/2006/picture">
            <wp:extent cx="5486400" cy="21573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classification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3. Сравнение конфигураций RuFLEX на задаче California Value Binary Geo.</w:t>
      </w:r>
    </w:p>
    <w:p>
      <w:r>
        <w:drawing>
          <wp:inline xmlns:a="http://schemas.openxmlformats.org/drawingml/2006/main" xmlns:pic="http://schemas.openxmlformats.org/drawingml/2006/picture">
            <wp:extent cx="5486400" cy="3885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lassification_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4. Панель интерпретации для лучшей конфигурации на задаче классификации.</w:t>
      </w:r>
    </w:p>
    <w:p>
      <w:r>
        <w:drawing>
          <wp:inline xmlns:a="http://schemas.openxmlformats.org/drawingml/2006/main" xmlns:pic="http://schemas.openxmlformats.org/drawingml/2006/picture">
            <wp:extent cx="5212080" cy="3212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membership_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1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5. Пример функций принадлежности для интерпретируемой фаззификации входного признака.</w:t>
      </w:r>
    </w:p>
    <w:p>
      <w:r>
        <w:rPr>
          <w:b/>
        </w:rPr>
        <w:t>6. Заключение</w:t>
      </w:r>
    </w:p>
    <w:p>
      <w:r>
        <w:t>В статье представлена платформа RuFLEX для гибридного глубокого нечеткого обучения, ориентированная на обработку геоданных и объединяющая дифференцируемые нечеткие слои, модули глубокого нечеткого формирования признаков, расширяемый пространственный контур глубоких нечетких сверток и механизмы принятия решений на основе правил. Показано, что платформа позволяет совместно обучать параметры функций принадлежности, базы правил и внутренних представлений признаков, сохраняя интерпретируемый вывод на уровне факторов, правил и скрытых концептов.</w:t>
      </w:r>
    </w:p>
    <w:p>
      <w:r>
        <w:t>Экспериментальная проверка на задачах регрессии и бинарной классификации подтверждает, что RuFLEX следует рассматривать именно как платформу выбора и сравнения модельных режимов. Перспективы дальнейшего развития связаны с усилением пространственного контура, расширением логической прослеживаемости правил и развитием контрфактуальной интерпретации без изменения базовой архитектурной схемы.</w:t>
      </w:r>
    </w:p>
    <w:p>
      <w:r>
        <w:rPr>
          <w:b/>
        </w:rPr>
        <w:t>Благодарность</w:t>
      </w:r>
    </w:p>
    <w:p>
      <w:r>
        <w:t>При необходимости здесь указывается благодарность научному руководителю, коллегам или консультантам.</w:t>
      </w:r>
    </w:p>
    <w:p>
      <w:r>
        <w:rPr>
          <w:b/>
        </w:rPr>
        <w:t>Финансирование</w:t>
      </w:r>
    </w:p>
    <w:p>
      <w:r>
        <w:t>При наличии финансирования здесь указывается формулировка на русском языке.</w:t>
      </w:r>
    </w:p>
    <w:p>
      <w:r>
        <w:rPr>
          <w:b/>
        </w:rPr>
        <w:t>Список литературы</w:t>
      </w:r>
    </w:p>
    <w:p>
      <w:pPr>
        <w:pStyle w:val="ListNumber"/>
      </w:pPr>
      <w:r>
        <w:t>Jang J.-S. R. ANFIS: Adaptive-Network-Based Fuzzy Inference System // IEEE Transactions on Systems, Man, and Cybernetics. 1993. Vol. 23, No. 3. P. 665-685.</w:t>
      </w:r>
    </w:p>
    <w:p>
      <w:pPr>
        <w:pStyle w:val="ListNumber"/>
      </w:pPr>
      <w:r>
        <w:t>Paszke A., Gross S., Massa F. et al. PyTorch: An Imperative Style, High-Performance Deep Learning Library // Advances in Neural Information Processing Systems. 2019. Vol. 32.</w:t>
      </w:r>
    </w:p>
    <w:p>
      <w:pPr>
        <w:pStyle w:val="ListNumber"/>
      </w:pPr>
      <w:r>
        <w:t>Pedregosa F., Varoquaux G., Gramfort A. et al. Scikit-learn: Machine Learning in Python // Journal of Machine Learning Research. 2011. Vol. 12. P. 2825-2830.</w:t>
      </w:r>
    </w:p>
    <w:p>
      <w:pPr>
        <w:pStyle w:val="ListNumber"/>
      </w:pPr>
      <w:r>
        <w:t>Pace R. K., Barry R. Sparse Spatial Autoregressions // Statistics &amp; Probability Letters. 1997. Vol. 33, No. 3. P. 291-297. DOI: 10.1016/S0167-7152(96)00140-X.</w:t>
      </w:r>
    </w:p>
    <w:p>
      <w:pPr>
        <w:pStyle w:val="ListNumber"/>
      </w:pPr>
      <w:r>
        <w:t>Rudin C. Stop Explaining Black Box Machine Learning Models for High Stakes Decisions and Use Interpretable Models Instead // Nature Machine Intelligence. 2019. Vol. 1. P. 206-215. DOI: 10.1038/s42256-019-0048-x.</w:t>
      </w:r>
    </w:p>
    <w:p>
      <w:pPr>
        <w:pStyle w:val="ListNumber"/>
      </w:pPr>
      <w:r>
        <w:t>Ma X., Chen L., Deng Z. et al. Deep Image Feature Learning With Fuzzy Rules // IEEE Transactions on Emerging Topics in Computational Intelligence. 2024. Vol. 8. P. 724-737. DOI: 10.1109/TETCI.2023.3259447.</w:t>
      </w:r>
    </w:p>
    <w:p>
      <w:pPr>
        <w:pStyle w:val="ListNumber"/>
      </w:pPr>
      <w:r>
        <w:t>Lebedeffson. deep-neuro-fuzzy [Электронный ресурс]. URL: https://github.com/lebedeffson/deep-neuro-fuzzy (дата обращения: 13.04.2026).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