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Расширенные материалы к статье «RuFLEX: гибридная платформа глубокого нечеткого интеллекта для геоданных с логической прослеживаемостью правил и контрфактуальной объяснимостью»</w:t>
      </w:r>
    </w:p>
    <w:p>
      <w:pPr>
        <w:pStyle w:val="Heading1"/>
        <w:jc w:val="left"/>
      </w:pPr>
      <w:r>
        <w:t>1. Назначение расширенных материалов</w:t>
      </w:r>
    </w:p>
    <w:p>
      <w:pPr>
        <w:spacing w:after="120"/>
        <w:ind w:firstLine="360"/>
        <w:jc w:val="both"/>
      </w:pPr>
      <w:r>
        <w:rPr>
          <w:rFonts w:ascii="Times New Roman" w:hAnsi="Times New Roman"/>
          <w:sz w:val="24"/>
        </w:rPr>
        <w:t>В настоящих расширенных материалах собраны дополнительные архитектурные, математические и экспериментальные сведения о платформе RuFLEX. Основная статья сохраняет компактную журнальную форму, тогда как данный документ раскрывает внутреннюю логику платформы подробнее и фиксирует те детали, которые важны для воспроизводимости, интерпретации и корректного позиционирования результатов.</w:t>
      </w:r>
    </w:p>
    <w:p>
      <w:pPr>
        <w:spacing w:after="120"/>
        <w:ind w:firstLine="360"/>
        <w:jc w:val="both"/>
      </w:pPr>
      <w:r>
        <w:rPr>
          <w:rFonts w:ascii="Times New Roman" w:hAnsi="Times New Roman"/>
          <w:sz w:val="24"/>
        </w:rPr>
        <w:t>RuFLEX рассматривается не как одна отдельная модель, а как программно-модельная среда, в которой объединены описание переменных, функции принадлежности, локальные правила, глубокое нечеткое формирование признаков, режимы обучения, средства интерпретации и пользовательские инструменты. Именно платформенный характер позволяет сопоставлять несколько архитектурных режимов в одной вычислительной системе и анализировать не только итоговые метрики, но и внутреннюю структуру вывода.</w:t>
      </w:r>
    </w:p>
    <w:p>
      <w:pPr>
        <w:pStyle w:val="Heading1"/>
        <w:jc w:val="left"/>
      </w:pPr>
      <w:r>
        <w:t>2. Архитектурная логика платформы</w:t>
      </w:r>
    </w:p>
    <w:p>
      <w:pPr>
        <w:spacing w:after="120"/>
        <w:ind w:firstLine="360"/>
        <w:jc w:val="both"/>
      </w:pPr>
      <w:r>
        <w:rPr>
          <w:rFonts w:ascii="Times New Roman" w:hAnsi="Times New Roman"/>
          <w:sz w:val="24"/>
        </w:rPr>
        <w:t>Архитектура RuFLEX естественным образом раскладывается на несколько взаимосвязанных модулей.</w:t>
      </w:r>
    </w:p>
    <w:p>
      <w:pPr>
        <w:spacing w:after="120"/>
        <w:ind w:firstLine="360"/>
        <w:jc w:val="both"/>
      </w:pPr>
      <w:r>
        <w:rPr>
          <w:rFonts w:ascii="Times New Roman" w:hAnsi="Times New Roman"/>
          <w:sz w:val="24"/>
        </w:rPr>
        <w:t>Первый модуль задает данные и переменные. На этом уровне определяются входные и выходные переменные, диапазоны значений, режимы нормализации и роли признаков в вычислительном контуре.</w:t>
      </w:r>
    </w:p>
    <w:p>
      <w:pPr>
        <w:spacing w:after="120"/>
        <w:ind w:firstLine="360"/>
        <w:jc w:val="both"/>
      </w:pPr>
      <w:r>
        <w:rPr>
          <w:rFonts w:ascii="Times New Roman" w:hAnsi="Times New Roman"/>
          <w:sz w:val="24"/>
        </w:rPr>
        <w:t>Второй модуль состоит из термов и функций принадлежности. Он переводит числовое описание объекта в нечеткое пространство, пригодное для формирования правил и дальнейшей дифференцируемой оптимизации.</w:t>
      </w:r>
    </w:p>
    <w:p>
      <w:pPr>
        <w:spacing w:after="120"/>
        <w:ind w:firstLine="360"/>
        <w:jc w:val="both"/>
      </w:pPr>
      <w:r>
        <w:rPr>
          <w:rFonts w:ascii="Times New Roman" w:hAnsi="Times New Roman"/>
          <w:sz w:val="24"/>
        </w:rPr>
        <w:t>Третий модуль образует правиловый контур. В нем задаются антецеденты, способы агрегации, веса правил, параметры заключений и локальные блоки, ограничивающие рост структуры.</w:t>
      </w:r>
    </w:p>
    <w:p>
      <w:pPr>
        <w:spacing w:after="120"/>
        <w:ind w:firstLine="360"/>
        <w:jc w:val="both"/>
      </w:pPr>
      <w:r>
        <w:rPr>
          <w:rFonts w:ascii="Times New Roman" w:hAnsi="Times New Roman"/>
          <w:sz w:val="24"/>
        </w:rPr>
        <w:t>Четвертый модуль реализует глубокое нечеткое формирование признаков. На этом уровне локальные блоки правил порождают скрытые нечеткие концепты, а последовательность таких уровней образует глубокий концептуальный контур платформы.</w:t>
      </w:r>
    </w:p>
    <w:p>
      <w:pPr>
        <w:spacing w:after="120"/>
        <w:ind w:firstLine="360"/>
        <w:jc w:val="both"/>
      </w:pPr>
      <w:r>
        <w:rPr>
          <w:rFonts w:ascii="Times New Roman" w:hAnsi="Times New Roman"/>
          <w:sz w:val="24"/>
        </w:rPr>
        <w:t>Пятый модуль соответствует плоскому интерпретируемому нейро-нечеткому режиму. Он используется как базовая и сравнительная конфигурация и особенно важен в постановках, где на первый план выходит компактность модели и прозрачность вывода. По своей структуре этот режим близок к классическим нейро-нечетким системам по типу Сугено и функционально сопоставим с ANFIS-подобной постановкой [1], поскольку объединяет один нечеткий блок формирования признаков и финальный правиловый решающий слой.</w:t>
      </w:r>
    </w:p>
    <w:p>
      <w:pPr>
        <w:spacing w:after="120"/>
        <w:ind w:firstLine="360"/>
        <w:jc w:val="both"/>
      </w:pPr>
      <w:r>
        <w:rPr>
          <w:rFonts w:ascii="Times New Roman" w:hAnsi="Times New Roman"/>
          <w:sz w:val="24"/>
        </w:rPr>
        <w:t>Шестой модуль охватывает обучение и регуляризацию. В него входят начальная инициализация, поэтапное предварительное обучение, совместное дообучение, структурный контроль сложности и сохранение воспроизводимых конфигураций.</w:t>
      </w:r>
    </w:p>
    <w:p>
      <w:pPr>
        <w:spacing w:after="120"/>
        <w:ind w:firstLine="360"/>
        <w:jc w:val="both"/>
      </w:pPr>
      <w:r>
        <w:rPr>
          <w:rFonts w:ascii="Times New Roman" w:hAnsi="Times New Roman"/>
          <w:sz w:val="24"/>
        </w:rPr>
        <w:t>Седьмой модуль образует интерпретационный и пользовательский контур. Он включает Python SDK, веб-интерфейс визуального проектирования, анализ функций принадлежности, правил, скрытых концептов, цепочек вывода и вкладов факторов.</w:t>
      </w:r>
    </w:p>
    <w:p>
      <w:pPr>
        <w:spacing w:after="120"/>
        <w:ind w:firstLine="360"/>
        <w:jc w:val="both"/>
      </w:pPr>
      <w:r>
        <w:rPr>
          <w:rFonts w:ascii="Times New Roman" w:hAnsi="Times New Roman"/>
          <w:sz w:val="24"/>
        </w:rPr>
        <w:t>Наконец, в архитектуре предусмотрен пространственный сверточный каркас глубокого нечеткого вывода. В текущем исследовании он рассматривается как архитектурно включенный и расширяемый модуль, тогда как основная экспериментальная проверка сосредоточена на табличных геопризнаках. Поэтому пространственный контур в данной статье следует интерпретировать как согласованный с общей схемой платформы резерв развития, а не как отдельно завершенный и полностью валидированный прикладной модуль.</w:t>
      </w:r>
    </w:p>
    <w:p>
      <w:pPr>
        <w:pStyle w:val="Heading1"/>
        <w:jc w:val="left"/>
      </w:pPr>
      <w:r>
        <w:t>3. Архитектура в текущей реализации</w:t>
      </w:r>
    </w:p>
    <w:p>
      <w:pPr>
        <w:spacing w:after="120"/>
        <w:ind w:firstLine="360"/>
        <w:jc w:val="both"/>
      </w:pPr>
      <w:r>
        <w:rPr>
          <w:rFonts w:ascii="Times New Roman" w:hAnsi="Times New Roman"/>
          <w:sz w:val="24"/>
        </w:rPr>
        <w:t>Текущая реализация платформы поддерживает именно такую архитектурную подачу. На уровне спецификации модели используются локальные блоки, стадии и финальный решающий слой. Плоский режим задается одним локальным признаковым блоком и одним решающим слоем. Глубокий режим задается последовательностью стадий, каждая из которых содержит несколько локальных блоков, формирующих скрытые концепты для следующего уровня.</w:t>
      </w:r>
    </w:p>
    <w:p>
      <w:pPr>
        <w:spacing w:after="120"/>
        <w:ind w:firstLine="360"/>
        <w:jc w:val="both"/>
      </w:pPr>
      <w:r>
        <w:rPr>
          <w:rFonts w:ascii="Times New Roman" w:hAnsi="Times New Roman"/>
          <w:sz w:val="24"/>
        </w:rPr>
        <w:t>Такое устройство важно по двум причинам. Во-первых, глубина в RuFLEX имеет явную структурную форму, а не вводится как риторическое обозначение. Во-вторых, архитектурные абляции можно строить честно, изменяя число стадий, ширину концептов, число правил и силу регуляризации без смены общей исследовательской среды.</w:t>
      </w:r>
    </w:p>
    <w:p>
      <w:pPr>
        <w:spacing w:after="120"/>
        <w:ind w:firstLine="360"/>
        <w:jc w:val="both"/>
      </w:pPr>
      <w:r>
        <w:rPr>
          <w:rFonts w:ascii="Times New Roman" w:hAnsi="Times New Roman"/>
          <w:sz w:val="24"/>
        </w:rPr>
        <w:t>Платформа уже содержит воспроизводимые конфигурации для режимов flat baseline, flat interpretable, deep compact, deep article demo и deep research, а также согласованные training presets. Поэтому экспериментальное сравнение ведется не между разрозненными скриптами, а внутри единого benchmark-контура.</w:t>
      </w:r>
    </w:p>
    <w:p>
      <w:pPr>
        <w:spacing w:after="40"/>
        <w:jc w:val="center"/>
      </w:pPr>
      <w:r>
        <w:drawing>
          <wp:inline xmlns:a="http://schemas.openxmlformats.org/drawingml/2006/main" xmlns:pic="http://schemas.openxmlformats.org/drawingml/2006/picture">
            <wp:extent cx="5669280" cy="3129443"/>
            <wp:docPr id="1" name="Picture 1"/>
            <wp:cNvGraphicFramePr>
              <a:graphicFrameLocks noChangeAspect="1"/>
            </wp:cNvGraphicFramePr>
            <a:graphic>
              <a:graphicData uri="http://schemas.openxmlformats.org/drawingml/2006/picture">
                <pic:pic>
                  <pic:nvPicPr>
                    <pic:cNvPr id="0" name="scheme1_ruflex_platform_architecture.png"/>
                    <pic:cNvPicPr/>
                  </pic:nvPicPr>
                  <pic:blipFill>
                    <a:blip r:embed="rId9"/>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1. Общая архитектура RuFLEX: вычислительное ядро, платформенный слой и исследовательские сервисы.</w:t>
      </w:r>
    </w:p>
    <w:p>
      <w:pPr>
        <w:spacing w:after="40"/>
        <w:jc w:val="center"/>
      </w:pPr>
      <w:r>
        <w:drawing>
          <wp:inline xmlns:a="http://schemas.openxmlformats.org/drawingml/2006/main" xmlns:pic="http://schemas.openxmlformats.org/drawingml/2006/picture">
            <wp:extent cx="5669280" cy="3129443"/>
            <wp:docPr id="2" name="Picture 2"/>
            <wp:cNvGraphicFramePr>
              <a:graphicFrameLocks noChangeAspect="1"/>
            </wp:cNvGraphicFramePr>
            <a:graphic>
              <a:graphicData uri="http://schemas.openxmlformats.org/drawingml/2006/picture">
                <pic:pic>
                  <pic:nvPicPr>
                    <pic:cNvPr id="0" name="scheme2_model_contour.png"/>
                    <pic:cNvPicPr/>
                  </pic:nvPicPr>
                  <pic:blipFill>
                    <a:blip r:embed="rId10"/>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2. Модельный контур RuFLEX: плоский и глубокий режимы, скрытые концепты и пространственный каркас.</w:t>
      </w:r>
    </w:p>
    <w:p>
      <w:pPr>
        <w:spacing w:after="40"/>
        <w:jc w:val="center"/>
      </w:pPr>
      <w:r>
        <w:drawing>
          <wp:inline xmlns:a="http://schemas.openxmlformats.org/drawingml/2006/main" xmlns:pic="http://schemas.openxmlformats.org/drawingml/2006/picture">
            <wp:extent cx="5669280" cy="3129443"/>
            <wp:docPr id="3" name="Picture 3"/>
            <wp:cNvGraphicFramePr>
              <a:graphicFrameLocks noChangeAspect="1"/>
            </wp:cNvGraphicFramePr>
            <a:graphic>
              <a:graphicData uri="http://schemas.openxmlformats.org/drawingml/2006/picture">
                <pic:pic>
                  <pic:nvPicPr>
                    <pic:cNvPr id="0" name="scheme3_explainability_pipeline.png"/>
                    <pic:cNvPicPr/>
                  </pic:nvPicPr>
                  <pic:blipFill>
                    <a:blip r:embed="rId11"/>
                    <a:stretch>
                      <a:fillRect/>
                    </a:stretch>
                  </pic:blipFill>
                  <pic:spPr>
                    <a:xfrm>
                      <a:off x="0" y="0"/>
                      <a:ext cx="5669280" cy="3129443"/>
                    </a:xfrm>
                    <a:prstGeom prst="rect"/>
                  </pic:spPr>
                </pic:pic>
              </a:graphicData>
            </a:graphic>
          </wp:inline>
        </w:drawing>
      </w:r>
    </w:p>
    <w:p>
      <w:pPr>
        <w:spacing w:after="160"/>
        <w:jc w:val="center"/>
      </w:pPr>
      <w:r>
        <w:rPr>
          <w:rFonts w:ascii="Times New Roman" w:hAnsi="Times New Roman"/>
          <w:i/>
          <w:sz w:val="20"/>
        </w:rPr>
        <w:t>Схема 3. Контур интерпретации: от фаззификации объекта к правилам, концептам и аналитическим материалам.</w:t>
      </w:r>
    </w:p>
    <w:p>
      <w:pPr>
        <w:pStyle w:val="Heading1"/>
        <w:jc w:val="left"/>
      </w:pPr>
      <w:r>
        <w:t>4. Что означает глубина в RuFLEX</w:t>
      </w:r>
    </w:p>
    <w:p>
      <w:pPr>
        <w:spacing w:after="120"/>
        <w:ind w:firstLine="360"/>
        <w:jc w:val="both"/>
      </w:pPr>
      <w:r>
        <w:rPr>
          <w:rFonts w:ascii="Times New Roman" w:hAnsi="Times New Roman"/>
          <w:sz w:val="24"/>
        </w:rPr>
        <w:t>Глубина в платформе RuFLEX понимается не как простое увеличение числа непрозрачных слоев. Под глубиной здесь понимается последовательное построение новых нечетких представлений объекта, каждое из которых формируется системой локальных правиловых блоков и потому сохраняет связь с исходными признаками и промежуточными концептами.</w:t>
      </w:r>
    </w:p>
    <w:p>
      <w:pPr>
        <w:spacing w:after="120"/>
        <w:ind w:firstLine="360"/>
        <w:jc w:val="both"/>
      </w:pPr>
      <w:r>
        <w:rPr>
          <w:rFonts w:ascii="Times New Roman" w:hAnsi="Times New Roman"/>
          <w:sz w:val="24"/>
        </w:rPr>
        <w:t>Пусть уровень l = 0 соответствует нормализованному пространству исходных признаков. Тогда уровень l = 1 строит первые скрытые нечеткие концепты на основе локальных правил, использующих исходные переменные. Уровень l = 2 строит новые концепты уже на основе концептов первого уровня. В общем случае глубина модели определяется числом последовательных концептуальных уровней перед финальным решающим слоем.</w:t>
      </w:r>
    </w:p>
    <w:p>
      <w:pPr>
        <w:spacing w:after="120"/>
        <w:ind w:firstLine="360"/>
        <w:jc w:val="both"/>
      </w:pPr>
      <w:r>
        <w:rPr>
          <w:rFonts w:ascii="Times New Roman" w:hAnsi="Times New Roman"/>
          <w:sz w:val="24"/>
        </w:rPr>
        <w:t>Такое понимание глубины принципиально для интерпретации результатов. Оно означает, что скрытые уровни в RuFLEX представляют собой не просто внутреннее кодирование, а последовательность интерпретируемых концептуальных переописаний входа.</w:t>
      </w:r>
    </w:p>
    <w:p>
      <w:pPr>
        <w:pStyle w:val="Heading1"/>
        <w:jc w:val="left"/>
      </w:pPr>
      <w:r>
        <w:t>5. Математический каркас модели</w:t>
      </w:r>
    </w:p>
    <w:p>
      <w:pPr>
        <w:spacing w:after="120"/>
        <w:ind w:firstLine="360"/>
        <w:jc w:val="both"/>
      </w:pPr>
      <w:r>
        <w:rPr>
          <w:rFonts w:ascii="Times New Roman" w:hAnsi="Times New Roman"/>
          <w:sz w:val="24"/>
        </w:rPr>
        <w:t>Пусть объект описывается вектором признаков</w:t>
      </w:r>
    </w:p>
    <w:p>
      <w:pPr>
        <w:spacing w:after="80"/>
        <w:jc w:val="center"/>
      </w:pPr>
      <w:r>
        <w:drawing>
          <wp:inline xmlns:a="http://schemas.openxmlformats.org/drawingml/2006/main" xmlns:pic="http://schemas.openxmlformats.org/drawingml/2006/picture">
            <wp:extent cx="5120640" cy="1151701"/>
            <wp:docPr id="4" name="Picture 4"/>
            <wp:cNvGraphicFramePr>
              <a:graphicFrameLocks noChangeAspect="1"/>
            </wp:cNvGraphicFramePr>
            <a:graphic>
              <a:graphicData uri="http://schemas.openxmlformats.org/drawingml/2006/picture">
                <pic:pic>
                  <pic:nvPicPr>
                    <pic:cNvPr id="0" name="2074a72f85ceb9d5.png"/>
                    <pic:cNvPicPr/>
                  </pic:nvPicPr>
                  <pic:blipFill>
                    <a:blip r:embed="rId12"/>
                    <a:stretch>
                      <a:fillRect/>
                    </a:stretch>
                  </pic:blipFill>
                  <pic:spPr>
                    <a:xfrm>
                      <a:off x="0" y="0"/>
                      <a:ext cx="5120640" cy="1151701"/>
                    </a:xfrm>
                    <a:prstGeom prst="rect"/>
                  </pic:spPr>
                </pic:pic>
              </a:graphicData>
            </a:graphic>
          </wp:inline>
        </w:drawing>
      </w:r>
    </w:p>
    <w:p>
      <w:pPr>
        <w:spacing w:after="120"/>
        <w:ind w:firstLine="360"/>
        <w:jc w:val="both"/>
      </w:pPr>
      <w:r>
        <w:rPr>
          <w:rFonts w:ascii="Times New Roman" w:hAnsi="Times New Roman"/>
          <w:sz w:val="24"/>
        </w:rPr>
        <w:t>После нормализации получаем</w:t>
      </w:r>
    </w:p>
    <w:p>
      <w:pPr>
        <w:spacing w:after="80"/>
        <w:jc w:val="center"/>
      </w:pPr>
      <w:r>
        <w:drawing>
          <wp:inline xmlns:a="http://schemas.openxmlformats.org/drawingml/2006/main" xmlns:pic="http://schemas.openxmlformats.org/drawingml/2006/picture">
            <wp:extent cx="5120640" cy="1760895"/>
            <wp:docPr id="5" name="Picture 5"/>
            <wp:cNvGraphicFramePr>
              <a:graphicFrameLocks noChangeAspect="1"/>
            </wp:cNvGraphicFramePr>
            <a:graphic>
              <a:graphicData uri="http://schemas.openxmlformats.org/drawingml/2006/picture">
                <pic:pic>
                  <pic:nvPicPr>
                    <pic:cNvPr id="0" name="6a057a32f79e694d.png"/>
                    <pic:cNvPicPr/>
                  </pic:nvPicPr>
                  <pic:blipFill>
                    <a:blip r:embed="rId13"/>
                    <a:stretch>
                      <a:fillRect/>
                    </a:stretch>
                  </pic:blipFill>
                  <pic:spPr>
                    <a:xfrm>
                      <a:off x="0" y="0"/>
                      <a:ext cx="5120640" cy="1760895"/>
                    </a:xfrm>
                    <a:prstGeom prst="rect"/>
                  </pic:spPr>
                </pic:pic>
              </a:graphicData>
            </a:graphic>
          </wp:inline>
        </w:drawing>
      </w:r>
    </w:p>
    <w:p>
      <w:pPr>
        <w:spacing w:after="120"/>
        <w:ind w:firstLine="360"/>
        <w:jc w:val="both"/>
      </w:pPr>
      <w:r>
        <w:rPr>
          <w:rFonts w:ascii="Times New Roman" w:hAnsi="Times New Roman"/>
          <w:sz w:val="24"/>
        </w:rPr>
        <w:t>а весь входной вектор записывается как</w:t>
      </w:r>
    </w:p>
    <w:p>
      <w:pPr>
        <w:spacing w:after="80"/>
        <w:jc w:val="center"/>
      </w:pPr>
      <w:r>
        <w:drawing>
          <wp:inline xmlns:a="http://schemas.openxmlformats.org/drawingml/2006/main" xmlns:pic="http://schemas.openxmlformats.org/drawingml/2006/picture">
            <wp:extent cx="5120640" cy="1000449"/>
            <wp:docPr id="6" name="Picture 6"/>
            <wp:cNvGraphicFramePr>
              <a:graphicFrameLocks noChangeAspect="1"/>
            </wp:cNvGraphicFramePr>
            <a:graphic>
              <a:graphicData uri="http://schemas.openxmlformats.org/drawingml/2006/picture">
                <pic:pic>
                  <pic:nvPicPr>
                    <pic:cNvPr id="0" name="3bba02875eaf5891.png"/>
                    <pic:cNvPicPr/>
                  </pic:nvPicPr>
                  <pic:blipFill>
                    <a:blip r:embed="rId14"/>
                    <a:stretch>
                      <a:fillRect/>
                    </a:stretch>
                  </pic:blipFill>
                  <pic:spPr>
                    <a:xfrm>
                      <a:off x="0" y="0"/>
                      <a:ext cx="5120640" cy="1000449"/>
                    </a:xfrm>
                    <a:prstGeom prst="rect"/>
                  </pic:spPr>
                </pic:pic>
              </a:graphicData>
            </a:graphic>
          </wp:inline>
        </w:drawing>
      </w:r>
    </w:p>
    <w:p>
      <w:pPr>
        <w:spacing w:after="120"/>
        <w:ind w:firstLine="360"/>
        <w:jc w:val="both"/>
      </w:pPr>
      <w:r>
        <w:rPr>
          <w:rFonts w:ascii="Times New Roman" w:hAnsi="Times New Roman"/>
          <w:sz w:val="24"/>
        </w:rPr>
        <w:t>Для i-й переменной и j-го терма задается функция принадлежности</w:t>
      </w:r>
    </w:p>
    <w:p>
      <w:pPr>
        <w:spacing w:after="80"/>
        <w:jc w:val="center"/>
      </w:pPr>
      <w:r>
        <w:drawing>
          <wp:inline xmlns:a="http://schemas.openxmlformats.org/drawingml/2006/main" xmlns:pic="http://schemas.openxmlformats.org/drawingml/2006/picture">
            <wp:extent cx="5120640" cy="1814910"/>
            <wp:docPr id="7" name="Picture 7"/>
            <wp:cNvGraphicFramePr>
              <a:graphicFrameLocks noChangeAspect="1"/>
            </wp:cNvGraphicFramePr>
            <a:graphic>
              <a:graphicData uri="http://schemas.openxmlformats.org/drawingml/2006/picture">
                <pic:pic>
                  <pic:nvPicPr>
                    <pic:cNvPr id="0" name="31f20022b29fda7c.png"/>
                    <pic:cNvPicPr/>
                  </pic:nvPicPr>
                  <pic:blipFill>
                    <a:blip r:embed="rId15"/>
                    <a:stretch>
                      <a:fillRect/>
                    </a:stretch>
                  </pic:blipFill>
                  <pic:spPr>
                    <a:xfrm>
                      <a:off x="0" y="0"/>
                      <a:ext cx="5120640" cy="1814910"/>
                    </a:xfrm>
                    <a:prstGeom prst="rect"/>
                  </pic:spPr>
                </pic:pic>
              </a:graphicData>
            </a:graphic>
          </wp:inline>
        </w:drawing>
      </w:r>
    </w:p>
    <w:p>
      <w:pPr>
        <w:spacing w:after="120"/>
        <w:ind w:firstLine="360"/>
        <w:jc w:val="both"/>
      </w:pPr>
      <w:r>
        <w:rPr>
          <w:rFonts w:ascii="Times New Roman" w:hAnsi="Times New Roman"/>
          <w:sz w:val="24"/>
        </w:rPr>
        <w:t>Для гауссовой функции принадлежности используется выражение</w:t>
      </w:r>
    </w:p>
    <w:p>
      <w:pPr>
        <w:spacing w:after="80"/>
        <w:jc w:val="center"/>
      </w:pPr>
      <w:r>
        <w:drawing>
          <wp:inline xmlns:a="http://schemas.openxmlformats.org/drawingml/2006/main" xmlns:pic="http://schemas.openxmlformats.org/drawingml/2006/picture">
            <wp:extent cx="5120640" cy="1429827"/>
            <wp:docPr id="8" name="Picture 8"/>
            <wp:cNvGraphicFramePr>
              <a:graphicFrameLocks noChangeAspect="1"/>
            </wp:cNvGraphicFramePr>
            <a:graphic>
              <a:graphicData uri="http://schemas.openxmlformats.org/drawingml/2006/picture">
                <pic:pic>
                  <pic:nvPicPr>
                    <pic:cNvPr id="0" name="d747b6617435de6c.png"/>
                    <pic:cNvPicPr/>
                  </pic:nvPicPr>
                  <pic:blipFill>
                    <a:blip r:embed="rId16"/>
                    <a:stretch>
                      <a:fillRect/>
                    </a:stretch>
                  </pic:blipFill>
                  <pic:spPr>
                    <a:xfrm>
                      <a:off x="0" y="0"/>
                      <a:ext cx="5120640" cy="1429827"/>
                    </a:xfrm>
                    <a:prstGeom prst="rect"/>
                  </pic:spPr>
                </pic:pic>
              </a:graphicData>
            </a:graphic>
          </wp:inline>
        </w:drawing>
      </w:r>
    </w:p>
    <w:p>
      <w:pPr>
        <w:spacing w:after="120"/>
        <w:ind w:firstLine="360"/>
        <w:jc w:val="both"/>
      </w:pPr>
      <w:r>
        <w:rPr>
          <w:rFonts w:ascii="Times New Roman" w:hAnsi="Times New Roman"/>
          <w:sz w:val="24"/>
        </w:rPr>
        <w:t>Для колоколообразной функции принадлежности используется выражение</w:t>
      </w:r>
    </w:p>
    <w:p>
      <w:pPr>
        <w:spacing w:after="80"/>
        <w:jc w:val="center"/>
      </w:pPr>
      <w:r>
        <w:drawing>
          <wp:inline xmlns:a="http://schemas.openxmlformats.org/drawingml/2006/main" xmlns:pic="http://schemas.openxmlformats.org/drawingml/2006/picture">
            <wp:extent cx="5120640" cy="1855952"/>
            <wp:docPr id="9" name="Picture 9"/>
            <wp:cNvGraphicFramePr>
              <a:graphicFrameLocks noChangeAspect="1"/>
            </wp:cNvGraphicFramePr>
            <a:graphic>
              <a:graphicData uri="http://schemas.openxmlformats.org/drawingml/2006/picture">
                <pic:pic>
                  <pic:nvPicPr>
                    <pic:cNvPr id="0" name="c7dc6fceadcad93d.png"/>
                    <pic:cNvPicPr/>
                  </pic:nvPicPr>
                  <pic:blipFill>
                    <a:blip r:embed="rId17"/>
                    <a:stretch>
                      <a:fillRect/>
                    </a:stretch>
                  </pic:blipFill>
                  <pic:spPr>
                    <a:xfrm>
                      <a:off x="0" y="0"/>
                      <a:ext cx="5120640" cy="1855952"/>
                    </a:xfrm>
                    <a:prstGeom prst="rect"/>
                  </pic:spPr>
                </pic:pic>
              </a:graphicData>
            </a:graphic>
          </wp:inline>
        </w:drawing>
      </w:r>
    </w:p>
    <w:p>
      <w:pPr>
        <w:spacing w:after="120"/>
        <w:ind w:firstLine="360"/>
        <w:jc w:val="both"/>
      </w:pPr>
      <w:r>
        <w:rPr>
          <w:rFonts w:ascii="Times New Roman" w:hAnsi="Times New Roman"/>
          <w:sz w:val="24"/>
        </w:rPr>
        <w:t>Пусть на уровне l задано правило r, содержащее k_r антецедентов. Тогда его ненормированная активация определяется как</w:t>
      </w:r>
    </w:p>
    <w:p>
      <w:pPr>
        <w:spacing w:after="80"/>
        <w:jc w:val="center"/>
      </w:pPr>
      <w:r>
        <w:drawing>
          <wp:inline xmlns:a="http://schemas.openxmlformats.org/drawingml/2006/main" xmlns:pic="http://schemas.openxmlformats.org/drawingml/2006/picture">
            <wp:extent cx="5120640" cy="1408652"/>
            <wp:docPr id="10" name="Picture 10"/>
            <wp:cNvGraphicFramePr>
              <a:graphicFrameLocks noChangeAspect="1"/>
            </wp:cNvGraphicFramePr>
            <a:graphic>
              <a:graphicData uri="http://schemas.openxmlformats.org/drawingml/2006/picture">
                <pic:pic>
                  <pic:nvPicPr>
                    <pic:cNvPr id="0" name="6b8f5cf9f071eba2.png"/>
                    <pic:cNvPicPr/>
                  </pic:nvPicPr>
                  <pic:blipFill>
                    <a:blip r:embed="rId18"/>
                    <a:stretch>
                      <a:fillRect/>
                    </a:stretch>
                  </pic:blipFill>
                  <pic:spPr>
                    <a:xfrm>
                      <a:off x="0" y="0"/>
                      <a:ext cx="5120640" cy="1408652"/>
                    </a:xfrm>
                    <a:prstGeom prst="rect"/>
                  </pic:spPr>
                </pic:pic>
              </a:graphicData>
            </a:graphic>
          </wp:inline>
        </w:drawing>
      </w:r>
    </w:p>
    <w:p>
      <w:pPr>
        <w:spacing w:after="120"/>
        <w:ind w:firstLine="360"/>
        <w:jc w:val="both"/>
      </w:pPr>
      <w:r>
        <w:rPr>
          <w:rFonts w:ascii="Times New Roman" w:hAnsi="Times New Roman"/>
          <w:sz w:val="24"/>
        </w:rPr>
        <w:t>Нормированный вес правила задается выражением</w:t>
      </w:r>
    </w:p>
    <w:p>
      <w:pPr>
        <w:spacing w:after="120"/>
        <w:ind w:firstLine="360"/>
        <w:jc w:val="both"/>
      </w:pPr>
      <w:r>
        <w:rPr>
          <w:rFonts w:ascii="Times New Roman" w:hAnsi="Times New Roman"/>
          <w:sz w:val="24"/>
        </w:rPr>
        <w:t>\bar{w}_r^(l)(x) = w_r^(l)(x) / ( Σ_s w_s^(l)(x) + ε ).</w:t>
      </w:r>
    </w:p>
    <w:p>
      <w:pPr>
        <w:spacing w:after="120"/>
        <w:ind w:firstLine="360"/>
        <w:jc w:val="both"/>
      </w:pPr>
      <w:r>
        <w:rPr>
          <w:rFonts w:ascii="Times New Roman" w:hAnsi="Times New Roman"/>
          <w:sz w:val="24"/>
        </w:rPr>
        <w:t>Если блок B_q^(l) формирует скрытый концепт h_q^(l)(x), то этот концепт определяется как</w:t>
      </w:r>
    </w:p>
    <w:p>
      <w:pPr>
        <w:spacing w:after="80"/>
        <w:jc w:val="center"/>
      </w:pPr>
      <w:r>
        <w:drawing>
          <wp:inline xmlns:a="http://schemas.openxmlformats.org/drawingml/2006/main" xmlns:pic="http://schemas.openxmlformats.org/drawingml/2006/picture">
            <wp:extent cx="5120640" cy="1191481"/>
            <wp:docPr id="11" name="Picture 11"/>
            <wp:cNvGraphicFramePr>
              <a:graphicFrameLocks noChangeAspect="1"/>
            </wp:cNvGraphicFramePr>
            <a:graphic>
              <a:graphicData uri="http://schemas.openxmlformats.org/drawingml/2006/picture">
                <pic:pic>
                  <pic:nvPicPr>
                    <pic:cNvPr id="0" name="326a6a47554cbdc9.png"/>
                    <pic:cNvPicPr/>
                  </pic:nvPicPr>
                  <pic:blipFill>
                    <a:blip r:embed="rId19"/>
                    <a:stretch>
                      <a:fillRect/>
                    </a:stretch>
                  </pic:blipFill>
                  <pic:spPr>
                    <a:xfrm>
                      <a:off x="0" y="0"/>
                      <a:ext cx="5120640" cy="1191481"/>
                    </a:xfrm>
                    <a:prstGeom prst="rect"/>
                  </pic:spPr>
                </pic:pic>
              </a:graphicData>
            </a:graphic>
          </wp:inline>
        </w:drawing>
      </w:r>
    </w:p>
    <w:p>
      <w:pPr>
        <w:spacing w:after="120"/>
        <w:ind w:firstLine="360"/>
        <w:jc w:val="both"/>
      </w:pPr>
      <w:r>
        <w:rPr>
          <w:rFonts w:ascii="Times New Roman" w:hAnsi="Times New Roman"/>
          <w:sz w:val="24"/>
        </w:rPr>
        <w:t>Тогда новое представление объекта имеет вид</w:t>
      </w:r>
    </w:p>
    <w:p>
      <w:pPr>
        <w:spacing w:after="120"/>
        <w:ind w:firstLine="360"/>
        <w:jc w:val="both"/>
      </w:pPr>
      <w:r>
        <w:rPr>
          <w:rFonts w:ascii="Times New Roman" w:hAnsi="Times New Roman"/>
          <w:sz w:val="24"/>
        </w:rPr>
        <w:t>h^(l)(x) = ( h_1^(l)(x), h_2^(l)(x), ..., h_(Q_l)^(l)(x) ).</w:t>
      </w:r>
    </w:p>
    <w:p>
      <w:pPr>
        <w:spacing w:after="120"/>
        <w:ind w:firstLine="360"/>
        <w:jc w:val="both"/>
      </w:pPr>
      <w:r>
        <w:rPr>
          <w:rFonts w:ascii="Times New Roman" w:hAnsi="Times New Roman"/>
          <w:sz w:val="24"/>
        </w:rPr>
        <w:t>Финальный ответ для задачи регрессии вычисляется по формуле</w:t>
      </w:r>
    </w:p>
    <w:p>
      <w:pPr>
        <w:spacing w:after="80"/>
        <w:jc w:val="center"/>
      </w:pPr>
      <w:r>
        <w:drawing>
          <wp:inline xmlns:a="http://schemas.openxmlformats.org/drawingml/2006/main" xmlns:pic="http://schemas.openxmlformats.org/drawingml/2006/picture">
            <wp:extent cx="5120640" cy="1065855"/>
            <wp:docPr id="12" name="Picture 12"/>
            <wp:cNvGraphicFramePr>
              <a:graphicFrameLocks noChangeAspect="1"/>
            </wp:cNvGraphicFramePr>
            <a:graphic>
              <a:graphicData uri="http://schemas.openxmlformats.org/drawingml/2006/picture">
                <pic:pic>
                  <pic:nvPicPr>
                    <pic:cNvPr id="0" name="43707762d3ff2994.png"/>
                    <pic:cNvPicPr/>
                  </pic:nvPicPr>
                  <pic:blipFill>
                    <a:blip r:embed="rId20"/>
                    <a:stretch>
                      <a:fillRect/>
                    </a:stretch>
                  </pic:blipFill>
                  <pic:spPr>
                    <a:xfrm>
                      <a:off x="0" y="0"/>
                      <a:ext cx="5120640" cy="1065855"/>
                    </a:xfrm>
                    <a:prstGeom prst="rect"/>
                  </pic:spPr>
                </pic:pic>
              </a:graphicData>
            </a:graphic>
          </wp:inline>
        </w:drawing>
      </w:r>
    </w:p>
    <w:p>
      <w:pPr>
        <w:spacing w:after="120"/>
        <w:ind w:firstLine="360"/>
        <w:jc w:val="both"/>
      </w:pPr>
      <w:r>
        <w:rPr>
          <w:rFonts w:ascii="Times New Roman" w:hAnsi="Times New Roman"/>
          <w:sz w:val="24"/>
        </w:rPr>
        <w:t>Для бинарной классификации сначала вычисляется логит</w:t>
      </w:r>
    </w:p>
    <w:p>
      <w:pPr>
        <w:spacing w:after="80"/>
        <w:jc w:val="center"/>
      </w:pPr>
      <w:r>
        <w:drawing>
          <wp:inline xmlns:a="http://schemas.openxmlformats.org/drawingml/2006/main" xmlns:pic="http://schemas.openxmlformats.org/drawingml/2006/picture">
            <wp:extent cx="5120640" cy="1072505"/>
            <wp:docPr id="13" name="Picture 13"/>
            <wp:cNvGraphicFramePr>
              <a:graphicFrameLocks noChangeAspect="1"/>
            </wp:cNvGraphicFramePr>
            <a:graphic>
              <a:graphicData uri="http://schemas.openxmlformats.org/drawingml/2006/picture">
                <pic:pic>
                  <pic:nvPicPr>
                    <pic:cNvPr id="0" name="2efc82f57970d35a.png"/>
                    <pic:cNvPicPr/>
                  </pic:nvPicPr>
                  <pic:blipFill>
                    <a:blip r:embed="rId21"/>
                    <a:stretch>
                      <a:fillRect/>
                    </a:stretch>
                  </pic:blipFill>
                  <pic:spPr>
                    <a:xfrm>
                      <a:off x="0" y="0"/>
                      <a:ext cx="5120640" cy="1072505"/>
                    </a:xfrm>
                    <a:prstGeom prst="rect"/>
                  </pic:spPr>
                </pic:pic>
              </a:graphicData>
            </a:graphic>
          </wp:inline>
        </w:drawing>
      </w:r>
    </w:p>
    <w:p>
      <w:pPr>
        <w:spacing w:after="120"/>
        <w:ind w:firstLine="360"/>
        <w:jc w:val="both"/>
      </w:pPr>
      <w:r>
        <w:rPr>
          <w:rFonts w:ascii="Times New Roman" w:hAnsi="Times New Roman"/>
          <w:sz w:val="24"/>
        </w:rPr>
        <w:t>после чего вероятность положительного класса определяется как</w:t>
      </w:r>
    </w:p>
    <w:p>
      <w:pPr>
        <w:spacing w:after="80"/>
        <w:jc w:val="center"/>
      </w:pPr>
      <w:r>
        <w:drawing>
          <wp:inline xmlns:a="http://schemas.openxmlformats.org/drawingml/2006/main" xmlns:pic="http://schemas.openxmlformats.org/drawingml/2006/picture">
            <wp:extent cx="5120640" cy="1689007"/>
            <wp:docPr id="14" name="Picture 14"/>
            <wp:cNvGraphicFramePr>
              <a:graphicFrameLocks noChangeAspect="1"/>
            </wp:cNvGraphicFramePr>
            <a:graphic>
              <a:graphicData uri="http://schemas.openxmlformats.org/drawingml/2006/picture">
                <pic:pic>
                  <pic:nvPicPr>
                    <pic:cNvPr id="0" name="77457ae26f63204f.png"/>
                    <pic:cNvPicPr/>
                  </pic:nvPicPr>
                  <pic:blipFill>
                    <a:blip r:embed="rId22"/>
                    <a:stretch>
                      <a:fillRect/>
                    </a:stretch>
                  </pic:blipFill>
                  <pic:spPr>
                    <a:xfrm>
                      <a:off x="0" y="0"/>
                      <a:ext cx="5120640" cy="1689007"/>
                    </a:xfrm>
                    <a:prstGeom prst="rect"/>
                  </pic:spPr>
                </pic:pic>
              </a:graphicData>
            </a:graphic>
          </wp:inline>
        </w:drawing>
      </w:r>
    </w:p>
    <w:p>
      <w:pPr>
        <w:spacing w:after="120"/>
        <w:ind w:firstLine="360"/>
        <w:jc w:val="both"/>
      </w:pPr>
      <w:r>
        <w:rPr>
          <w:rFonts w:ascii="Times New Roman" w:hAnsi="Times New Roman"/>
          <w:sz w:val="24"/>
        </w:rPr>
        <w:t>Этот каркас показывает, что модельный контур RuFLEX объединяет фаззификацию, локальные правила, скрытые концептуальные уровни и финальное решающее правило в одной вычислительной схеме. Тем самым глубокий режим описывается не метафорически, а в терминах явно задаваемых и обучаемых блоков.</w:t>
      </w:r>
    </w:p>
    <w:p>
      <w:pPr>
        <w:pStyle w:val="Heading1"/>
        <w:jc w:val="left"/>
      </w:pPr>
      <w:r>
        <w:t>6. Регуляризованное обучение</w:t>
      </w:r>
    </w:p>
    <w:p>
      <w:pPr>
        <w:spacing w:after="120"/>
        <w:ind w:firstLine="360"/>
        <w:jc w:val="both"/>
      </w:pPr>
      <w:r>
        <w:rPr>
          <w:rFonts w:ascii="Times New Roman" w:hAnsi="Times New Roman"/>
          <w:sz w:val="24"/>
        </w:rPr>
        <w:t>Совместное обучение параметров платформы может быть записано через функционал</w:t>
      </w:r>
    </w:p>
    <w:p>
      <w:pPr>
        <w:spacing w:after="80"/>
        <w:jc w:val="center"/>
      </w:pPr>
      <w:r>
        <w:drawing>
          <wp:inline xmlns:a="http://schemas.openxmlformats.org/drawingml/2006/main" xmlns:pic="http://schemas.openxmlformats.org/drawingml/2006/picture">
            <wp:extent cx="5120640" cy="388658"/>
            <wp:docPr id="15" name="Picture 15"/>
            <wp:cNvGraphicFramePr>
              <a:graphicFrameLocks noChangeAspect="1"/>
            </wp:cNvGraphicFramePr>
            <a:graphic>
              <a:graphicData uri="http://schemas.openxmlformats.org/drawingml/2006/picture">
                <pic:pic>
                  <pic:nvPicPr>
                    <pic:cNvPr id="0" name="48c75d813cf43ced.png"/>
                    <pic:cNvPicPr/>
                  </pic:nvPicPr>
                  <pic:blipFill>
                    <a:blip r:embed="rId23"/>
                    <a:stretch>
                      <a:fillRect/>
                    </a:stretch>
                  </pic:blipFill>
                  <pic:spPr>
                    <a:xfrm>
                      <a:off x="0" y="0"/>
                      <a:ext cx="5120640" cy="388658"/>
                    </a:xfrm>
                    <a:prstGeom prst="rect"/>
                  </pic:spPr>
                </pic:pic>
              </a:graphicData>
            </a:graphic>
          </wp:inline>
        </w:drawing>
      </w:r>
    </w:p>
    <w:p>
      <w:pPr>
        <w:spacing w:after="120"/>
        <w:ind w:firstLine="360"/>
        <w:jc w:val="both"/>
      </w:pPr>
      <w:r>
        <w:rPr>
          <w:rFonts w:ascii="Times New Roman" w:hAnsi="Times New Roman"/>
          <w:sz w:val="24"/>
        </w:rPr>
        <w:t>Для регрессии основное слагаемое задается, например, среднеквадратичной ошибкой</w:t>
      </w:r>
    </w:p>
    <w:p>
      <w:pPr>
        <w:spacing w:after="80"/>
        <w:jc w:val="center"/>
      </w:pPr>
      <w:r>
        <w:drawing>
          <wp:inline xmlns:a="http://schemas.openxmlformats.org/drawingml/2006/main" xmlns:pic="http://schemas.openxmlformats.org/drawingml/2006/picture">
            <wp:extent cx="5120640" cy="1839828"/>
            <wp:docPr id="16" name="Picture 16"/>
            <wp:cNvGraphicFramePr>
              <a:graphicFrameLocks noChangeAspect="1"/>
            </wp:cNvGraphicFramePr>
            <a:graphic>
              <a:graphicData uri="http://schemas.openxmlformats.org/drawingml/2006/picture">
                <pic:pic>
                  <pic:nvPicPr>
                    <pic:cNvPr id="0" name="58248c2db5103786.png"/>
                    <pic:cNvPicPr/>
                  </pic:nvPicPr>
                  <pic:blipFill>
                    <a:blip r:embed="rId24"/>
                    <a:stretch>
                      <a:fillRect/>
                    </a:stretch>
                  </pic:blipFill>
                  <pic:spPr>
                    <a:xfrm>
                      <a:off x="0" y="0"/>
                      <a:ext cx="5120640" cy="1839828"/>
                    </a:xfrm>
                    <a:prstGeom prst="rect"/>
                  </pic:spPr>
                </pic:pic>
              </a:graphicData>
            </a:graphic>
          </wp:inline>
        </w:drawing>
      </w:r>
    </w:p>
    <w:p>
      <w:pPr>
        <w:spacing w:after="120"/>
        <w:ind w:firstLine="360"/>
        <w:jc w:val="both"/>
      </w:pPr>
      <w:r>
        <w:rPr>
          <w:rFonts w:ascii="Times New Roman" w:hAnsi="Times New Roman"/>
          <w:sz w:val="24"/>
        </w:rPr>
        <w:t>Для бинарной классификации может использоваться логистическая потеря</w:t>
      </w:r>
    </w:p>
    <w:p>
      <w:pPr>
        <w:spacing w:after="80"/>
        <w:jc w:val="center"/>
      </w:pPr>
      <w:r>
        <w:drawing>
          <wp:inline xmlns:a="http://schemas.openxmlformats.org/drawingml/2006/main" xmlns:pic="http://schemas.openxmlformats.org/drawingml/2006/picture">
            <wp:extent cx="5120640" cy="906252"/>
            <wp:docPr id="17" name="Picture 17"/>
            <wp:cNvGraphicFramePr>
              <a:graphicFrameLocks noChangeAspect="1"/>
            </wp:cNvGraphicFramePr>
            <a:graphic>
              <a:graphicData uri="http://schemas.openxmlformats.org/drawingml/2006/picture">
                <pic:pic>
                  <pic:nvPicPr>
                    <pic:cNvPr id="0" name="eb7aaf077441e075.png"/>
                    <pic:cNvPicPr/>
                  </pic:nvPicPr>
                  <pic:blipFill>
                    <a:blip r:embed="rId25"/>
                    <a:stretch>
                      <a:fillRect/>
                    </a:stretch>
                  </pic:blipFill>
                  <pic:spPr>
                    <a:xfrm>
                      <a:off x="0" y="0"/>
                      <a:ext cx="5120640" cy="906252"/>
                    </a:xfrm>
                    <a:prstGeom prst="rect"/>
                  </pic:spPr>
                </pic:pic>
              </a:graphicData>
            </a:graphic>
          </wp:inline>
        </w:drawing>
      </w:r>
    </w:p>
    <w:p>
      <w:pPr>
        <w:spacing w:after="120"/>
        <w:ind w:firstLine="360"/>
        <w:jc w:val="both"/>
      </w:pPr>
      <w:r>
        <w:rPr>
          <w:rFonts w:ascii="Times New Roman" w:hAnsi="Times New Roman"/>
          <w:sz w:val="24"/>
        </w:rPr>
        <w:t>Разреживающее слагаемое можно записать как</w:t>
      </w:r>
    </w:p>
    <w:p>
      <w:pPr>
        <w:spacing w:after="80"/>
        <w:jc w:val="center"/>
      </w:pPr>
      <w:r>
        <w:drawing>
          <wp:inline xmlns:a="http://schemas.openxmlformats.org/drawingml/2006/main" xmlns:pic="http://schemas.openxmlformats.org/drawingml/2006/picture">
            <wp:extent cx="5120640" cy="2182568"/>
            <wp:docPr id="18" name="Picture 18"/>
            <wp:cNvGraphicFramePr>
              <a:graphicFrameLocks noChangeAspect="1"/>
            </wp:cNvGraphicFramePr>
            <a:graphic>
              <a:graphicData uri="http://schemas.openxmlformats.org/drawingml/2006/picture">
                <pic:pic>
                  <pic:nvPicPr>
                    <pic:cNvPr id="0" name="ea757678a2dd54b1.png"/>
                    <pic:cNvPicPr/>
                  </pic:nvPicPr>
                  <pic:blipFill>
                    <a:blip r:embed="rId26"/>
                    <a:stretch>
                      <a:fillRect/>
                    </a:stretch>
                  </pic:blipFill>
                  <pic:spPr>
                    <a:xfrm>
                      <a:off x="0" y="0"/>
                      <a:ext cx="5120640" cy="2182568"/>
                    </a:xfrm>
                    <a:prstGeom prst="rect"/>
                  </pic:spPr>
                </pic:pic>
              </a:graphicData>
            </a:graphic>
          </wp:inline>
        </w:drawing>
      </w:r>
    </w:p>
    <w:p>
      <w:pPr>
        <w:spacing w:after="120"/>
        <w:ind w:firstLine="360"/>
        <w:jc w:val="both"/>
      </w:pPr>
      <w:r>
        <w:rPr>
          <w:rFonts w:ascii="Times New Roman" w:hAnsi="Times New Roman"/>
          <w:sz w:val="24"/>
        </w:rPr>
        <w:t>Контроль перекрытия термов задается выражением</w:t>
      </w:r>
    </w:p>
    <w:p>
      <w:pPr>
        <w:spacing w:after="80"/>
        <w:jc w:val="center"/>
      </w:pPr>
      <w:r>
        <w:drawing>
          <wp:inline xmlns:a="http://schemas.openxmlformats.org/drawingml/2006/main" xmlns:pic="http://schemas.openxmlformats.org/drawingml/2006/picture">
            <wp:extent cx="5120640" cy="1383491"/>
            <wp:docPr id="19" name="Picture 19"/>
            <wp:cNvGraphicFramePr>
              <a:graphicFrameLocks noChangeAspect="1"/>
            </wp:cNvGraphicFramePr>
            <a:graphic>
              <a:graphicData uri="http://schemas.openxmlformats.org/drawingml/2006/picture">
                <pic:pic>
                  <pic:nvPicPr>
                    <pic:cNvPr id="0" name="3bbc58c8e5362be0.png"/>
                    <pic:cNvPicPr/>
                  </pic:nvPicPr>
                  <pic:blipFill>
                    <a:blip r:embed="rId27"/>
                    <a:stretch>
                      <a:fillRect/>
                    </a:stretch>
                  </pic:blipFill>
                  <pic:spPr>
                    <a:xfrm>
                      <a:off x="0" y="0"/>
                      <a:ext cx="5120640" cy="1383491"/>
                    </a:xfrm>
                    <a:prstGeom prst="rect"/>
                  </pic:spPr>
                </pic:pic>
              </a:graphicData>
            </a:graphic>
          </wp:inline>
        </w:drawing>
      </w:r>
    </w:p>
    <w:p>
      <w:pPr>
        <w:spacing w:after="120"/>
        <w:ind w:firstLine="360"/>
        <w:jc w:val="both"/>
      </w:pPr>
      <w:r>
        <w:rPr>
          <w:rFonts w:ascii="Times New Roman" w:hAnsi="Times New Roman"/>
          <w:sz w:val="24"/>
        </w:rPr>
        <w:t>Контроль различимости скрытых концептов задается выражением</w:t>
      </w:r>
    </w:p>
    <w:p>
      <w:pPr>
        <w:spacing w:after="80"/>
        <w:jc w:val="center"/>
      </w:pPr>
      <w:r>
        <w:drawing>
          <wp:inline xmlns:a="http://schemas.openxmlformats.org/drawingml/2006/main" xmlns:pic="http://schemas.openxmlformats.org/drawingml/2006/picture">
            <wp:extent cx="5120640" cy="1404983"/>
            <wp:docPr id="20" name="Picture 20"/>
            <wp:cNvGraphicFramePr>
              <a:graphicFrameLocks noChangeAspect="1"/>
            </wp:cNvGraphicFramePr>
            <a:graphic>
              <a:graphicData uri="http://schemas.openxmlformats.org/drawingml/2006/picture">
                <pic:pic>
                  <pic:nvPicPr>
                    <pic:cNvPr id="0" name="55f87b238ad7229c.png"/>
                    <pic:cNvPicPr/>
                  </pic:nvPicPr>
                  <pic:blipFill>
                    <a:blip r:embed="rId28"/>
                    <a:stretch>
                      <a:fillRect/>
                    </a:stretch>
                  </pic:blipFill>
                  <pic:spPr>
                    <a:xfrm>
                      <a:off x="0" y="0"/>
                      <a:ext cx="5120640" cy="1404983"/>
                    </a:xfrm>
                    <a:prstGeom prst="rect"/>
                  </pic:spPr>
                </pic:pic>
              </a:graphicData>
            </a:graphic>
          </wp:inline>
        </w:drawing>
      </w:r>
    </w:p>
    <w:p>
      <w:pPr>
        <w:spacing w:after="120"/>
        <w:ind w:firstLine="360"/>
        <w:jc w:val="both"/>
      </w:pPr>
      <w:r>
        <w:rPr>
          <w:rFonts w:ascii="Times New Roman" w:hAnsi="Times New Roman"/>
          <w:sz w:val="24"/>
        </w:rPr>
        <w:t>Смысл этих слагаемых состоит в поддержании интерпретируемой и устойчивой структуры модели. Разреженность ограничивает число существенно активных правил. Контроль перекрытия удерживает термы от чрезмерного наложения. Контроль скрытых концептов препятствует вырождению внутреннего представления в близкие по смыслу состояния.</w:t>
      </w:r>
    </w:p>
    <w:p>
      <w:pPr>
        <w:pStyle w:val="Heading1"/>
        <w:jc w:val="left"/>
      </w:pPr>
      <w:r>
        <w:t>7. Этапность обучения</w:t>
      </w:r>
    </w:p>
    <w:p>
      <w:pPr>
        <w:spacing w:after="120"/>
        <w:ind w:firstLine="360"/>
        <w:jc w:val="both"/>
      </w:pPr>
      <w:r>
        <w:rPr>
          <w:rFonts w:ascii="Times New Roman" w:hAnsi="Times New Roman"/>
          <w:sz w:val="24"/>
        </w:rPr>
        <w:t>Для глубокого нечеткого контура естественно выделять несколько фаз обучения.</w:t>
      </w:r>
    </w:p>
    <w:p>
      <w:pPr>
        <w:spacing w:after="120"/>
        <w:ind w:firstLine="360"/>
        <w:jc w:val="both"/>
      </w:pPr>
      <w:r>
        <w:rPr>
          <w:rFonts w:ascii="Times New Roman" w:hAnsi="Times New Roman"/>
          <w:sz w:val="24"/>
        </w:rPr>
        <w:t>На первом этапе выполняется начальная инициализация параметров функций принадлежности и локальных правиловых блоков.</w:t>
      </w:r>
    </w:p>
    <w:p>
      <w:pPr>
        <w:spacing w:after="120"/>
        <w:ind w:firstLine="360"/>
        <w:jc w:val="both"/>
      </w:pPr>
      <w:r>
        <w:rPr>
          <w:rFonts w:ascii="Times New Roman" w:hAnsi="Times New Roman"/>
          <w:sz w:val="24"/>
        </w:rPr>
        <w:t>На втором этапе проводится поэтапное предварительное обучение отдельных уровней или блоков.</w:t>
      </w:r>
    </w:p>
    <w:p>
      <w:pPr>
        <w:spacing w:after="120"/>
        <w:ind w:firstLine="360"/>
        <w:jc w:val="both"/>
      </w:pPr>
      <w:r>
        <w:rPr>
          <w:rFonts w:ascii="Times New Roman" w:hAnsi="Times New Roman"/>
          <w:sz w:val="24"/>
        </w:rPr>
        <w:t>На третьем этапе выполняется пересборка или уточнение правиловой структуры, если это предусмотрено выбранной конфигурацией.</w:t>
      </w:r>
    </w:p>
    <w:p>
      <w:pPr>
        <w:spacing w:after="120"/>
        <w:ind w:firstLine="360"/>
        <w:jc w:val="both"/>
      </w:pPr>
      <w:r>
        <w:rPr>
          <w:rFonts w:ascii="Times New Roman" w:hAnsi="Times New Roman"/>
          <w:sz w:val="24"/>
        </w:rPr>
        <w:t>На четвертом этапе проводится совместное дообучение всей модели.</w:t>
      </w:r>
    </w:p>
    <w:p>
      <w:pPr>
        <w:spacing w:after="120"/>
        <w:ind w:firstLine="360"/>
        <w:jc w:val="both"/>
      </w:pPr>
      <w:r>
        <w:rPr>
          <w:rFonts w:ascii="Times New Roman" w:hAnsi="Times New Roman"/>
          <w:sz w:val="24"/>
        </w:rPr>
        <w:t>Плоский режим требует менее сложной процедуры и обычно ограничивается начальной инициализацией с последующим дообучением. Это различие отражает разную структурную сложность двух архитектурных режимов и полезно при интерпретации устойчивости обучения.</w:t>
      </w:r>
    </w:p>
    <w:p>
      <w:pPr>
        <w:pStyle w:val="Heading1"/>
        <w:jc w:val="left"/>
      </w:pPr>
      <w:r>
        <w:t>8. Пространственный модуль</w:t>
      </w:r>
    </w:p>
    <w:p>
      <w:pPr>
        <w:spacing w:after="120"/>
        <w:ind w:firstLine="360"/>
        <w:jc w:val="both"/>
      </w:pPr>
      <w:r>
        <w:rPr>
          <w:rFonts w:ascii="Times New Roman" w:hAnsi="Times New Roman"/>
          <w:sz w:val="24"/>
        </w:rPr>
        <w:t>Для пространственного направления вводится тензор признаков</w:t>
      </w:r>
    </w:p>
    <w:p>
      <w:pPr>
        <w:spacing w:after="80"/>
        <w:jc w:val="center"/>
      </w:pPr>
      <w:r>
        <w:drawing>
          <wp:inline xmlns:a="http://schemas.openxmlformats.org/drawingml/2006/main" xmlns:pic="http://schemas.openxmlformats.org/drawingml/2006/picture">
            <wp:extent cx="5120640" cy="1393592"/>
            <wp:docPr id="21" name="Picture 21"/>
            <wp:cNvGraphicFramePr>
              <a:graphicFrameLocks noChangeAspect="1"/>
            </wp:cNvGraphicFramePr>
            <a:graphic>
              <a:graphicData uri="http://schemas.openxmlformats.org/drawingml/2006/picture">
                <pic:pic>
                  <pic:nvPicPr>
                    <pic:cNvPr id="0" name="30a73294efc7f420.png"/>
                    <pic:cNvPicPr/>
                  </pic:nvPicPr>
                  <pic:blipFill>
                    <a:blip r:embed="rId29"/>
                    <a:stretch>
                      <a:fillRect/>
                    </a:stretch>
                  </pic:blipFill>
                  <pic:spPr>
                    <a:xfrm>
                      <a:off x="0" y="0"/>
                      <a:ext cx="5120640" cy="1393592"/>
                    </a:xfrm>
                    <a:prstGeom prst="rect"/>
                  </pic:spPr>
                </pic:pic>
              </a:graphicData>
            </a:graphic>
          </wp:inline>
        </w:drawing>
      </w:r>
    </w:p>
    <w:p>
      <w:pPr>
        <w:spacing w:after="120"/>
        <w:ind w:firstLine="360"/>
        <w:jc w:val="both"/>
      </w:pPr>
      <w:r>
        <w:rPr>
          <w:rFonts w:ascii="Times New Roman" w:hAnsi="Times New Roman"/>
          <w:sz w:val="24"/>
        </w:rPr>
        <w:t>Тогда локальный нечеткий сверточный отклик можно записать как</w:t>
      </w:r>
    </w:p>
    <w:p>
      <w:pPr>
        <w:spacing w:after="80"/>
        <w:jc w:val="center"/>
      </w:pPr>
      <w:r>
        <w:drawing>
          <wp:inline xmlns:a="http://schemas.openxmlformats.org/drawingml/2006/main" xmlns:pic="http://schemas.openxmlformats.org/drawingml/2006/picture">
            <wp:extent cx="5120640" cy="838598"/>
            <wp:docPr id="22" name="Picture 22"/>
            <wp:cNvGraphicFramePr>
              <a:graphicFrameLocks noChangeAspect="1"/>
            </wp:cNvGraphicFramePr>
            <a:graphic>
              <a:graphicData uri="http://schemas.openxmlformats.org/drawingml/2006/picture">
                <pic:pic>
                  <pic:nvPicPr>
                    <pic:cNvPr id="0" name="722f9e03635486b3.png"/>
                    <pic:cNvPicPr/>
                  </pic:nvPicPr>
                  <pic:blipFill>
                    <a:blip r:embed="rId30"/>
                    <a:stretch>
                      <a:fillRect/>
                    </a:stretch>
                  </pic:blipFill>
                  <pic:spPr>
                    <a:xfrm>
                      <a:off x="0" y="0"/>
                      <a:ext cx="5120640" cy="838598"/>
                    </a:xfrm>
                    <a:prstGeom prst="rect"/>
                  </pic:spPr>
                </pic:pic>
              </a:graphicData>
            </a:graphic>
          </wp:inline>
        </w:drawing>
      </w:r>
    </w:p>
    <w:p>
      <w:pPr>
        <w:spacing w:after="120"/>
        <w:ind w:firstLine="360"/>
        <w:jc w:val="both"/>
      </w:pPr>
      <w:r>
        <w:rPr>
          <w:rFonts w:ascii="Times New Roman" w:hAnsi="Times New Roman"/>
          <w:sz w:val="24"/>
        </w:rPr>
        <w:t>где Ω является локальным окном, κ_(mabc) обозначают обучаемые веса, а μ_(mabc) задают локальные функции принадлежности.</w:t>
      </w:r>
    </w:p>
    <w:p>
      <w:pPr>
        <w:spacing w:after="120"/>
        <w:ind w:firstLine="360"/>
        <w:jc w:val="both"/>
      </w:pPr>
      <w:r>
        <w:rPr>
          <w:rFonts w:ascii="Times New Roman" w:hAnsi="Times New Roman"/>
          <w:sz w:val="24"/>
        </w:rPr>
        <w:t>Эта запись показывает, что пространственный каркас встроен в общую архитектурную схему RuFLEX. Вместе с тем текущая статья сосредоточена на табличных геопризнаках, а пространственный сверточный контур рассматривается как расширяемый модуль дальнейшего развития, а не как полностью завершенная и широко верифицированная подсистема.</w:t>
      </w:r>
    </w:p>
    <w:p>
      <w:pPr>
        <w:pStyle w:val="Heading1"/>
        <w:jc w:val="left"/>
      </w:pPr>
      <w:r>
        <w:t>9. Внутренняя интерпретация решения</w:t>
      </w:r>
    </w:p>
    <w:p>
      <w:pPr>
        <w:spacing w:after="120"/>
        <w:ind w:firstLine="360"/>
        <w:jc w:val="both"/>
      </w:pPr>
      <w:r>
        <w:rPr>
          <w:rFonts w:ascii="Times New Roman" w:hAnsi="Times New Roman"/>
          <w:sz w:val="24"/>
        </w:rPr>
        <w:t>Для правила финального слоя локальный вклад можно записать как</w:t>
      </w:r>
    </w:p>
    <w:p>
      <w:pPr>
        <w:spacing w:after="80"/>
        <w:jc w:val="center"/>
      </w:pPr>
      <w:r>
        <w:drawing>
          <wp:inline xmlns:a="http://schemas.openxmlformats.org/drawingml/2006/main" xmlns:pic="http://schemas.openxmlformats.org/drawingml/2006/picture">
            <wp:extent cx="5120640" cy="798022"/>
            <wp:docPr id="23" name="Picture 23"/>
            <wp:cNvGraphicFramePr>
              <a:graphicFrameLocks noChangeAspect="1"/>
            </wp:cNvGraphicFramePr>
            <a:graphic>
              <a:graphicData uri="http://schemas.openxmlformats.org/drawingml/2006/picture">
                <pic:pic>
                  <pic:nvPicPr>
                    <pic:cNvPr id="0" name="737db05d8cd38c13.png"/>
                    <pic:cNvPicPr/>
                  </pic:nvPicPr>
                  <pic:blipFill>
                    <a:blip r:embed="rId31"/>
                    <a:stretch>
                      <a:fillRect/>
                    </a:stretch>
                  </pic:blipFill>
                  <pic:spPr>
                    <a:xfrm>
                      <a:off x="0" y="0"/>
                      <a:ext cx="5120640" cy="798022"/>
                    </a:xfrm>
                    <a:prstGeom prst="rect"/>
                  </pic:spPr>
                </pic:pic>
              </a:graphicData>
            </a:graphic>
          </wp:inline>
        </w:drawing>
      </w:r>
    </w:p>
    <w:p>
      <w:pPr>
        <w:spacing w:after="120"/>
        <w:ind w:firstLine="360"/>
        <w:jc w:val="both"/>
      </w:pPr>
      <w:r>
        <w:rPr>
          <w:rFonts w:ascii="Times New Roman" w:hAnsi="Times New Roman"/>
          <w:sz w:val="24"/>
        </w:rPr>
        <w:t>Если правило относится к скрытому концепту q, то вклад концепта задается выражением</w:t>
      </w:r>
    </w:p>
    <w:p>
      <w:pPr>
        <w:spacing w:after="80"/>
        <w:jc w:val="center"/>
      </w:pPr>
      <w:r>
        <w:drawing>
          <wp:inline xmlns:a="http://schemas.openxmlformats.org/drawingml/2006/main" xmlns:pic="http://schemas.openxmlformats.org/drawingml/2006/picture">
            <wp:extent cx="5120640" cy="1959658"/>
            <wp:docPr id="24" name="Picture 24"/>
            <wp:cNvGraphicFramePr>
              <a:graphicFrameLocks noChangeAspect="1"/>
            </wp:cNvGraphicFramePr>
            <a:graphic>
              <a:graphicData uri="http://schemas.openxmlformats.org/drawingml/2006/picture">
                <pic:pic>
                  <pic:nvPicPr>
                    <pic:cNvPr id="0" name="551468cae4ca7b38.png"/>
                    <pic:cNvPicPr/>
                  </pic:nvPicPr>
                  <pic:blipFill>
                    <a:blip r:embed="rId32"/>
                    <a:stretch>
                      <a:fillRect/>
                    </a:stretch>
                  </pic:blipFill>
                  <pic:spPr>
                    <a:xfrm>
                      <a:off x="0" y="0"/>
                      <a:ext cx="5120640" cy="1959658"/>
                    </a:xfrm>
                    <a:prstGeom prst="rect"/>
                  </pic:spPr>
                </pic:pic>
              </a:graphicData>
            </a:graphic>
          </wp:inline>
        </w:drawing>
      </w:r>
    </w:p>
    <w:p>
      <w:pPr>
        <w:spacing w:after="120"/>
        <w:ind w:firstLine="360"/>
        <w:jc w:val="both"/>
      </w:pPr>
      <w:r>
        <w:rPr>
          <w:rFonts w:ascii="Times New Roman" w:hAnsi="Times New Roman"/>
          <w:sz w:val="24"/>
        </w:rPr>
        <w:t>Вклад исходного признака описывается как агрегирование по всем блокам и правилам, в которых соответствующая переменная использовалась. Для RuFLEX существен сам принцип: вклад факторов восстанавливается из собственной нечеткой структуры модели, а не только из внешнего постфактум-приближения.</w:t>
      </w:r>
    </w:p>
    <w:p>
      <w:pPr>
        <w:spacing w:after="120"/>
        <w:ind w:firstLine="360"/>
        <w:jc w:val="both"/>
      </w:pPr>
      <w:r>
        <w:rPr>
          <w:rFonts w:ascii="Times New Roman" w:hAnsi="Times New Roman"/>
          <w:sz w:val="24"/>
        </w:rPr>
        <w:t>Такое устройство интерпретационного контура создает структурную основу для более глубокой логической прослеживаемости правил и дальнейшего развития контрфактуального анализа. В текущей версии платформы этот контур уже поддерживает анализ активированных правил, скрытых концептов, траекторий вклада и зависимостей между факторами и итоговым ответом. Однако полная логическая прослеживаемость правил и отдельный контрфактуальный модуль в настоящем исследовании еще не выступают как автономно подтвержденные экспериментальные подсистемы.</w:t>
      </w:r>
    </w:p>
    <w:p>
      <w:pPr>
        <w:pStyle w:val="Heading1"/>
        <w:jc w:val="left"/>
      </w:pPr>
      <w:r>
        <w:t>10. Экспериментальный контур</w:t>
      </w:r>
    </w:p>
    <w:p>
      <w:pPr>
        <w:spacing w:after="120"/>
        <w:ind w:firstLine="360"/>
        <w:jc w:val="both"/>
      </w:pPr>
      <w:r>
        <w:rPr>
          <w:rFonts w:ascii="Times New Roman" w:hAnsi="Times New Roman"/>
          <w:sz w:val="24"/>
        </w:rPr>
        <w:t>Прикладная проверка платформы выполнена на трех геоориентированных постановках: California Housing Regression, California Value Binary Geo и Covertype Binary Geo. Первая задача соответствует регрессии по MedHouseVal при сохранении пространственных признаков Latitude и Longitude. Вторая задача формируется из того же семейства данных в постановке бинарной классификации. Третья задача задает независимый стресс-тест текущего табличного контура на картографических признаках Forest CoverType.</w:t>
      </w:r>
    </w:p>
    <w:p>
      <w:pPr>
        <w:spacing w:after="120"/>
        <w:ind w:firstLine="360"/>
        <w:jc w:val="both"/>
      </w:pPr>
      <w:r>
        <w:rPr>
          <w:rFonts w:ascii="Times New Roman" w:hAnsi="Times New Roman"/>
          <w:sz w:val="24"/>
        </w:rPr>
        <w:t>Для двух задач семейства California Housing использовались подвыборки объема 4096 наблюдений из исходного массива размером 20640 объектов. Для Covertype Binary Geo использовалась сбалансированная подвыборка объема 6000 наблюдений, сформированная из бинаризованной части Forest CoverType, содержащей 495141 допустимый объект из исходного массива размером 581012 строк. Такой дизайн соответствует контролируемому benchmark-исследованию с фиксированным бюджетом данных и вычислений, в котором все внутренние режимы RuFLEX и внешние baseline-модели сравниваются в одинаковых условиях. Следовательно, текущая прикладная валидация относится главным образом к табличному ядру платформы и к встроенному интерпретационному контуру на уровне правил, концептов и факторов.</w:t>
      </w:r>
    </w:p>
    <w:p>
      <w:pPr>
        <w:spacing w:after="120"/>
        <w:ind w:firstLine="360"/>
        <w:jc w:val="both"/>
      </w:pPr>
      <w:r>
        <w:rPr>
          <w:rFonts w:ascii="Times New Roman" w:hAnsi="Times New Roman"/>
          <w:sz w:val="24"/>
        </w:rPr>
        <w:t>Все основные результаты агрегируются по seed 11, 23 и 47 и приводятся в формате mean ± std. Такой протокол позволяет снизить зависимость выводов от одиночного запуска и делает сравнение архитектурных режимов содержательно более надежным. Вместе с тем эти результаты следует интерпретировать как выводы фиксированного benchmark-сценария, а не как окончательную оценку предельного качества моделей на полных датасетах.</w:t>
      </w:r>
    </w:p>
    <w:p>
      <w:pPr>
        <w:spacing w:after="120"/>
        <w:ind w:firstLine="360"/>
        <w:jc w:val="both"/>
      </w:pPr>
      <w:r>
        <w:rPr>
          <w:rFonts w:ascii="Times New Roman" w:hAnsi="Times New Roman"/>
          <w:sz w:val="24"/>
        </w:rPr>
        <w:t>Внутренние абляции RuFLEX включают плоский базовый режим, плоский интерпретируемый режим, умеренно глубокую конфигурацию с одним скрытым уровнем, варианты с ослабленной регуляризацией и более насыщенные исследовательские режимы. Первые две конфигурации здесь выступают как одноуровневые нейро-нечеткие baseline-режимы по типу Сугено, то есть играют роль внутреннего ANFIS-подобного сравнения в общей платформенной среде. Внешняя сравнительная таблица включает линейные модели, случайный лес, многослойный персептрон и градиентный бустинг. Тем самым сравнение ведется одновременно внутри семейства RuFLEX и относительно сильных табличных baseline-моделей.</w:t>
      </w:r>
    </w:p>
    <w:p>
      <w:pPr>
        <w:pStyle w:val="Heading1"/>
        <w:jc w:val="left"/>
      </w:pPr>
      <w:r>
        <w:t>11. Дополнительный разбор результатов</w:t>
      </w:r>
    </w:p>
    <w:p>
      <w:pPr>
        <w:spacing w:after="120"/>
        <w:ind w:firstLine="360"/>
        <w:jc w:val="both"/>
      </w:pPr>
      <w:r>
        <w:rPr>
          <w:rFonts w:ascii="Times New Roman" w:hAnsi="Times New Roman"/>
          <w:sz w:val="24"/>
        </w:rPr>
        <w:t>Главным количественным результатом статьи на текущем этапе является регрессионная задача California Housing Regression, уже пересчитанная по seed 11, 23 и 47 с агрегированием mean ± std. Лучший результат внутри семейства RuFLEX показывает глубинная абляция с одним скрытым уровнем:</w:t>
      </w:r>
    </w:p>
    <w:p>
      <w:pPr>
        <w:spacing w:after="120"/>
        <w:ind w:firstLine="360"/>
        <w:jc w:val="both"/>
      </w:pPr>
      <w:r>
        <w:rPr>
          <w:rFonts w:ascii="Times New Roman" w:hAnsi="Times New Roman"/>
          <w:sz w:val="24"/>
        </w:rPr>
        <w:t>test_rmse = 0.780 ± 0.033,</w:t>
      </w:r>
    </w:p>
    <w:p>
      <w:pPr>
        <w:spacing w:after="120"/>
        <w:ind w:firstLine="360"/>
        <w:jc w:val="both"/>
      </w:pPr>
      <w:r>
        <w:rPr>
          <w:rFonts w:ascii="Times New Roman" w:hAnsi="Times New Roman"/>
          <w:sz w:val="24"/>
        </w:rPr>
        <w:t>test_mae = 0.586 ± 0.008,</w:t>
      </w:r>
    </w:p>
    <w:p>
      <w:pPr>
        <w:spacing w:after="120"/>
        <w:ind w:firstLine="360"/>
        <w:jc w:val="both"/>
      </w:pPr>
      <w:r>
        <w:rPr>
          <w:rFonts w:ascii="Times New Roman" w:hAnsi="Times New Roman"/>
          <w:sz w:val="24"/>
        </w:rPr>
        <w:t>test_r2 = 0.504 ± 0.046.</w:t>
      </w:r>
    </w:p>
    <w:p>
      <w:pPr>
        <w:spacing w:after="120"/>
        <w:ind w:firstLine="360"/>
        <w:jc w:val="both"/>
      </w:pPr>
      <w:r>
        <w:rPr>
          <w:rFonts w:ascii="Times New Roman" w:hAnsi="Times New Roman"/>
          <w:sz w:val="24"/>
        </w:rPr>
        <w:t>Плоская базовая конфигурация дает</w:t>
      </w:r>
    </w:p>
    <w:p>
      <w:pPr>
        <w:spacing w:after="120"/>
        <w:ind w:firstLine="360"/>
        <w:jc w:val="both"/>
      </w:pPr>
      <w:r>
        <w:rPr>
          <w:rFonts w:ascii="Times New Roman" w:hAnsi="Times New Roman"/>
          <w:sz w:val="24"/>
        </w:rPr>
        <w:t>test_rmse = 0.869 ± 0.023,</w:t>
      </w:r>
    </w:p>
    <w:p>
      <w:pPr>
        <w:spacing w:after="120"/>
        <w:ind w:firstLine="360"/>
        <w:jc w:val="both"/>
      </w:pPr>
      <w:r>
        <w:rPr>
          <w:rFonts w:ascii="Times New Roman" w:hAnsi="Times New Roman"/>
          <w:sz w:val="24"/>
        </w:rPr>
        <w:t>test_mae = 0.655 ± 0.013,</w:t>
      </w:r>
    </w:p>
    <w:p>
      <w:pPr>
        <w:spacing w:after="120"/>
        <w:ind w:firstLine="360"/>
        <w:jc w:val="both"/>
      </w:pPr>
      <w:r>
        <w:rPr>
          <w:rFonts w:ascii="Times New Roman" w:hAnsi="Times New Roman"/>
          <w:sz w:val="24"/>
        </w:rPr>
        <w:t>test_r2 = 0.386 ± 0.038.</w:t>
      </w:r>
    </w:p>
    <w:p>
      <w:pPr>
        <w:spacing w:after="120"/>
        <w:ind w:firstLine="360"/>
        <w:jc w:val="both"/>
      </w:pPr>
      <w:r>
        <w:rPr>
          <w:rFonts w:ascii="Times New Roman" w:hAnsi="Times New Roman"/>
          <w:sz w:val="24"/>
        </w:rPr>
        <w:t>Эти значения показывают, что на геоориентированной табличной регрессии переход от плоской конфигурации к умеренно глубокому нечеткому формированию признаков действительно усиливает качество внутри семейства RuFLEX. При этом наиболее удачным оказывается не максимальный по сложности режим, а более компактная глубокая конфигурация.</w:t>
      </w:r>
    </w:p>
    <w:p>
      <w:pPr>
        <w:spacing w:after="120"/>
        <w:ind w:firstLine="360"/>
        <w:jc w:val="both"/>
      </w:pPr>
      <w:r>
        <w:rPr>
          <w:rFonts w:ascii="Times New Roman" w:hAnsi="Times New Roman"/>
          <w:sz w:val="24"/>
        </w:rPr>
        <w:t>В то же время внешние табличные модели на этом датасете оказываются сильнее по чистым предсказательным метрикам. Случайный лес показывает</w:t>
      </w:r>
    </w:p>
    <w:p>
      <w:pPr>
        <w:spacing w:after="120"/>
        <w:ind w:firstLine="360"/>
        <w:jc w:val="both"/>
      </w:pPr>
      <w:r>
        <w:rPr>
          <w:rFonts w:ascii="Times New Roman" w:hAnsi="Times New Roman"/>
          <w:sz w:val="24"/>
        </w:rPr>
        <w:t>test_rmse = 0.571 ± 0.017,</w:t>
      </w:r>
    </w:p>
    <w:p>
      <w:pPr>
        <w:spacing w:after="120"/>
        <w:ind w:firstLine="360"/>
        <w:jc w:val="both"/>
      </w:pPr>
      <w:r>
        <w:rPr>
          <w:rFonts w:ascii="Times New Roman" w:hAnsi="Times New Roman"/>
          <w:sz w:val="24"/>
        </w:rPr>
        <w:t>test_r2 = 0.734 ± 0.018,</w:t>
      </w:r>
    </w:p>
    <w:p>
      <w:pPr>
        <w:spacing w:after="120"/>
        <w:ind w:firstLine="360"/>
        <w:jc w:val="both"/>
      </w:pPr>
      <w:r>
        <w:rPr>
          <w:rFonts w:ascii="Times New Roman" w:hAnsi="Times New Roman"/>
          <w:sz w:val="24"/>
        </w:rPr>
        <w:t>а многослойный персептрон показывает</w:t>
      </w:r>
    </w:p>
    <w:p>
      <w:pPr>
        <w:spacing w:after="120"/>
        <w:ind w:firstLine="360"/>
        <w:jc w:val="both"/>
      </w:pPr>
      <w:r>
        <w:rPr>
          <w:rFonts w:ascii="Times New Roman" w:hAnsi="Times New Roman"/>
          <w:sz w:val="24"/>
        </w:rPr>
        <w:t>test_rmse = 0.582 ± 0.028,</w:t>
      </w:r>
    </w:p>
    <w:p>
      <w:pPr>
        <w:spacing w:after="120"/>
        <w:ind w:firstLine="360"/>
        <w:jc w:val="both"/>
      </w:pPr>
      <w:r>
        <w:rPr>
          <w:rFonts w:ascii="Times New Roman" w:hAnsi="Times New Roman"/>
          <w:sz w:val="24"/>
        </w:rPr>
        <w:t>test_r2 = 0.724 ± 0.026.</w:t>
      </w:r>
    </w:p>
    <w:p>
      <w:pPr>
        <w:spacing w:after="120"/>
        <w:ind w:firstLine="360"/>
        <w:jc w:val="both"/>
      </w:pPr>
      <w:r>
        <w:rPr>
          <w:rFonts w:ascii="Times New Roman" w:hAnsi="Times New Roman"/>
          <w:sz w:val="24"/>
        </w:rPr>
        <w:t>После расширения внешней таблицы наиболее сильным baseline на этой задаче оказывается градиентный бустинг:</w:t>
      </w:r>
    </w:p>
    <w:p>
      <w:pPr>
        <w:spacing w:after="120"/>
        <w:ind w:firstLine="360"/>
        <w:jc w:val="both"/>
      </w:pPr>
      <w:r>
        <w:rPr>
          <w:rFonts w:ascii="Times New Roman" w:hAnsi="Times New Roman"/>
          <w:sz w:val="24"/>
        </w:rPr>
        <w:t>test_rmse = 0.505 ± 0.015,</w:t>
      </w:r>
    </w:p>
    <w:p>
      <w:pPr>
        <w:spacing w:after="120"/>
        <w:ind w:firstLine="360"/>
        <w:jc w:val="both"/>
      </w:pPr>
      <w:r>
        <w:rPr>
          <w:rFonts w:ascii="Times New Roman" w:hAnsi="Times New Roman"/>
          <w:sz w:val="24"/>
        </w:rPr>
        <w:t>test_mae = 0.349 ± 0.010,</w:t>
      </w:r>
    </w:p>
    <w:p>
      <w:pPr>
        <w:spacing w:after="120"/>
        <w:ind w:firstLine="360"/>
        <w:jc w:val="both"/>
      </w:pPr>
      <w:r>
        <w:rPr>
          <w:rFonts w:ascii="Times New Roman" w:hAnsi="Times New Roman"/>
          <w:sz w:val="24"/>
        </w:rPr>
        <w:t>test_r2 = 0.793 ± 0.013.</w:t>
      </w:r>
    </w:p>
    <w:p>
      <w:pPr>
        <w:spacing w:after="120"/>
        <w:ind w:firstLine="360"/>
        <w:jc w:val="both"/>
      </w:pPr>
      <w:r>
        <w:rPr>
          <w:rFonts w:ascii="Times New Roman" w:hAnsi="Times New Roman"/>
          <w:sz w:val="24"/>
        </w:rPr>
        <w:t>Следовательно, на компактной табличной георегрессии статья не демонстрирует численного превосходства RuFLEX над сильными внешними baseline-моделями. Вклад платформы состоит в другом: в объединении гибридной нечеткой архитектуры, внутренней интерпретируемости, архитектурных абляций, воспроизводимого benchmark-контура, Python SDK, веб-интерфейса и Explainability Dashboard.</w:t>
      </w:r>
    </w:p>
    <w:p>
      <w:pPr>
        <w:spacing w:after="120"/>
        <w:ind w:firstLine="360"/>
        <w:jc w:val="both"/>
      </w:pPr>
      <w:r>
        <w:rPr>
          <w:rFonts w:ascii="Times New Roman" w:hAnsi="Times New Roman"/>
          <w:sz w:val="24"/>
        </w:rPr>
        <w:t>Классификационная задача California Value Binary Geo, также пересчитанная по seed 11, 23 и 47, показывает, что конфигурация Deep Depth 1 дает лучший внутри RuFLEX результат по accuracy и один из лучших результатов по F1. Для нее получаем</w:t>
      </w:r>
    </w:p>
    <w:p>
      <w:pPr>
        <w:spacing w:after="120"/>
        <w:ind w:firstLine="360"/>
        <w:jc w:val="both"/>
      </w:pPr>
      <w:r>
        <w:rPr>
          <w:rFonts w:ascii="Times New Roman" w:hAnsi="Times New Roman"/>
          <w:sz w:val="24"/>
        </w:rPr>
        <w:t>test_accuracy = 0.751 ± 0.008</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0.745 ± 0.009.</w:t>
      </w:r>
    </w:p>
    <w:p>
      <w:pPr>
        <w:spacing w:after="120"/>
        <w:ind w:firstLine="360"/>
        <w:jc w:val="both"/>
      </w:pPr>
      <w:r>
        <w:rPr>
          <w:rFonts w:ascii="Times New Roman" w:hAnsi="Times New Roman"/>
          <w:sz w:val="24"/>
        </w:rPr>
        <w:t>При этом конфигурация Deep No Regularization дает немного более высокий средний</w:t>
      </w:r>
    </w:p>
    <w:p>
      <w:pPr>
        <w:spacing w:after="120"/>
        <w:ind w:firstLine="360"/>
        <w:jc w:val="both"/>
      </w:pPr>
      <w:r>
        <w:rPr>
          <w:rFonts w:ascii="Times New Roman" w:hAnsi="Times New Roman"/>
          <w:sz w:val="24"/>
        </w:rPr>
        <w:t>test_f1 = 0.748 ± 0.014,</w:t>
      </w:r>
    </w:p>
    <w:p>
      <w:pPr>
        <w:spacing w:after="120"/>
        <w:ind w:firstLine="360"/>
        <w:jc w:val="both"/>
      </w:pPr>
      <w:r>
        <w:rPr>
          <w:rFonts w:ascii="Times New Roman" w:hAnsi="Times New Roman"/>
          <w:sz w:val="24"/>
        </w:rPr>
        <w:t>но это различие остается в пределах наблюдаемого разброса по seed.</w:t>
      </w:r>
    </w:p>
    <w:p>
      <w:pPr>
        <w:spacing w:after="120"/>
        <w:ind w:firstLine="360"/>
        <w:jc w:val="both"/>
      </w:pPr>
      <w:r>
        <w:rPr>
          <w:rFonts w:ascii="Times New Roman" w:hAnsi="Times New Roman"/>
          <w:sz w:val="24"/>
        </w:rPr>
        <w:t>При этом flat interpretable оказывается заметно менее устойчивым:</w:t>
      </w:r>
    </w:p>
    <w:p>
      <w:pPr>
        <w:spacing w:after="120"/>
        <w:ind w:firstLine="360"/>
        <w:jc w:val="both"/>
      </w:pPr>
      <w:r>
        <w:rPr>
          <w:rFonts w:ascii="Times New Roman" w:hAnsi="Times New Roman"/>
          <w:sz w:val="24"/>
        </w:rPr>
        <w:t>test_accuracy = 0.650 ± 0.117,</w:t>
      </w:r>
    </w:p>
    <w:p>
      <w:pPr>
        <w:spacing w:after="120"/>
        <w:ind w:firstLine="360"/>
        <w:jc w:val="both"/>
      </w:pPr>
      <w:r>
        <w:rPr>
          <w:rFonts w:ascii="Times New Roman" w:hAnsi="Times New Roman"/>
          <w:sz w:val="24"/>
        </w:rPr>
        <w:t>test_f1 = 0.482 ± 0.341.</w:t>
      </w:r>
    </w:p>
    <w:p>
      <w:pPr>
        <w:spacing w:after="120"/>
        <w:ind w:firstLine="360"/>
        <w:jc w:val="both"/>
      </w:pPr>
      <w:r>
        <w:rPr>
          <w:rFonts w:ascii="Times New Roman" w:hAnsi="Times New Roman"/>
          <w:sz w:val="24"/>
        </w:rPr>
        <w:t>Наиболее сильный внешний результат и здесь дает градиентный бустинг:</w:t>
      </w:r>
    </w:p>
    <w:p>
      <w:pPr>
        <w:spacing w:after="120"/>
        <w:ind w:firstLine="360"/>
        <w:jc w:val="both"/>
      </w:pPr>
      <w:r>
        <w:rPr>
          <w:rFonts w:ascii="Times New Roman" w:hAnsi="Times New Roman"/>
          <w:sz w:val="24"/>
        </w:rPr>
        <w:t>test_accuracy = 0.892 ± 0.006,</w:t>
      </w:r>
    </w:p>
    <w:p>
      <w:pPr>
        <w:spacing w:after="120"/>
        <w:ind w:firstLine="360"/>
        <w:jc w:val="both"/>
      </w:pPr>
      <w:r>
        <w:rPr>
          <w:rFonts w:ascii="Times New Roman" w:hAnsi="Times New Roman"/>
          <w:sz w:val="24"/>
        </w:rPr>
        <w:t>test_f1 = 0.895 ± 0.007.</w:t>
      </w:r>
    </w:p>
    <w:p>
      <w:pPr>
        <w:spacing w:after="120"/>
        <w:ind w:firstLine="360"/>
        <w:jc w:val="both"/>
      </w:pPr>
      <w:r>
        <w:rPr>
          <w:rFonts w:ascii="Times New Roman" w:hAnsi="Times New Roman"/>
          <w:sz w:val="24"/>
        </w:rPr>
        <w:t>Независимая задача Covertype Binary Geo введена в расширенные материалы не как еще одна демонстрация качества, а как стресс-тест и негативный контроль для текущего табличного контура. На ней лучший вариант внутри RuFLEX, конфигурация Deep Research, показывает</w:t>
      </w:r>
    </w:p>
    <w:p>
      <w:pPr>
        <w:spacing w:after="120"/>
        <w:ind w:firstLine="360"/>
        <w:jc w:val="both"/>
      </w:pPr>
      <w:r>
        <w:rPr>
          <w:rFonts w:ascii="Times New Roman" w:hAnsi="Times New Roman"/>
          <w:sz w:val="24"/>
        </w:rPr>
        <w:t>test_accuracy = 0.499 ± 0.007</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0.321 ± 0.272,</w:t>
      </w:r>
    </w:p>
    <w:p>
      <w:pPr>
        <w:spacing w:after="120"/>
        <w:ind w:firstLine="360"/>
        <w:jc w:val="both"/>
      </w:pPr>
      <w:r>
        <w:rPr>
          <w:rFonts w:ascii="Times New Roman" w:hAnsi="Times New Roman"/>
          <w:sz w:val="24"/>
        </w:rPr>
        <w:t>тогда как случайный лес дает</w:t>
      </w:r>
    </w:p>
    <w:p>
      <w:pPr>
        <w:spacing w:after="120"/>
        <w:ind w:firstLine="360"/>
        <w:jc w:val="both"/>
      </w:pPr>
      <w:r>
        <w:rPr>
          <w:rFonts w:ascii="Times New Roman" w:hAnsi="Times New Roman"/>
          <w:sz w:val="24"/>
        </w:rPr>
        <w:t>test_accuracy = 0.804 ± 0.001</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0.808 ± 0.001.</w:t>
      </w:r>
    </w:p>
    <w:p>
      <w:pPr>
        <w:spacing w:after="120"/>
        <w:ind w:firstLine="360"/>
        <w:jc w:val="both"/>
      </w:pPr>
      <w:r>
        <w:rPr>
          <w:rFonts w:ascii="Times New Roman" w:hAnsi="Times New Roman"/>
          <w:sz w:val="24"/>
        </w:rPr>
        <w:t>Этот результат не следует трактовать как неудачную равноправную третью задачу на качество. Его смысл состоит в том, чтобы зафиксировать границу применимости текущего табличного режима. Для более сложных картографических данных текущему табличному нечеткому контуру недостаточно просто варьировать глубину и регуляризацию. Здесь особенно существенным становится дальнейшее развитие пространственного направления и более богатых архитектурных связей.</w:t>
      </w:r>
    </w:p>
    <w:p>
      <w:pPr>
        <w:spacing w:after="120"/>
        <w:ind w:firstLine="360"/>
        <w:jc w:val="both"/>
      </w:pPr>
      <w:r>
        <w:rPr>
          <w:rFonts w:ascii="Times New Roman" w:hAnsi="Times New Roman"/>
          <w:sz w:val="24"/>
        </w:rPr>
        <w:t>Дополнительная интерпретация результатов связана с характером самих данных. Текущая регрессионная постановка представляет собой сравнительно компактную табличную задачу. Поэтому вполне правдоподобно, что преимущества более глубоких конфигураций раскрываются здесь слабее, чем на более сложных, более объемных или более структурированных геоданных. Наблюдаемая картина это поддерживает: глубокий режим лучше плоского внутри RuFLEX, но наилучшей оказывается умеренная, а не максимальная глубина.</w:t>
      </w:r>
    </w:p>
    <w:p>
      <w:pPr>
        <w:pStyle w:val="Heading1"/>
        <w:jc w:val="left"/>
      </w:pPr>
      <w:r>
        <w:t>12. Дополнительная проверка на увеличенных выборках</w:t>
      </w:r>
    </w:p>
    <w:p>
      <w:pPr>
        <w:spacing w:after="120"/>
        <w:ind w:firstLine="360"/>
        <w:jc w:val="both"/>
      </w:pPr>
      <w:r>
        <w:rPr>
          <w:rFonts w:ascii="Times New Roman" w:hAnsi="Times New Roman"/>
          <w:sz w:val="24"/>
        </w:rPr>
        <w:t>Чтобы проверить устойчивость основных выводов при росте объема данных, была проведена отдельная дополнительная серия на увеличенных выборках. Эта серия не заменяет базовый benchmark статьи и не подменяет основную сравнительную таблицу, а служит проверкой того, сохраняется ли внутренний тренд семейства RuFLEX при ослаблении ограничения по размеру выборки.</w:t>
      </w:r>
    </w:p>
    <w:p>
      <w:pPr>
        <w:spacing w:after="120"/>
        <w:ind w:firstLine="360"/>
        <w:jc w:val="both"/>
      </w:pPr>
      <w:r>
        <w:rPr>
          <w:rFonts w:ascii="Times New Roman" w:hAnsi="Times New Roman"/>
          <w:sz w:val="24"/>
        </w:rPr>
        <w:t>Для регрессионной задачи California Housing Regression был использован полный массив из 20640 наблюдений с тем же агрегированием по seed 11, 23 и 47. На этой серии плоская базовая конфигурация дает</w:t>
      </w:r>
    </w:p>
    <w:p>
      <w:pPr>
        <w:spacing w:after="120"/>
        <w:ind w:firstLine="360"/>
        <w:jc w:val="both"/>
      </w:pPr>
      <w:r>
        <w:rPr>
          <w:rFonts w:ascii="Times New Roman" w:hAnsi="Times New Roman"/>
          <w:sz w:val="24"/>
        </w:rPr>
        <w:t>test_rmse = 0.940 ± 0.159,</w:t>
      </w:r>
    </w:p>
    <w:p>
      <w:pPr>
        <w:spacing w:after="120"/>
        <w:ind w:firstLine="360"/>
        <w:jc w:val="both"/>
      </w:pPr>
      <w:r>
        <w:rPr>
          <w:rFonts w:ascii="Times New Roman" w:hAnsi="Times New Roman"/>
          <w:sz w:val="24"/>
        </w:rPr>
        <w:t>test_mae = 0.720 ± 0.140,</w:t>
      </w:r>
    </w:p>
    <w:p>
      <w:pPr>
        <w:spacing w:after="120"/>
        <w:ind w:firstLine="360"/>
        <w:jc w:val="both"/>
      </w:pPr>
      <w:r>
        <w:rPr>
          <w:rFonts w:ascii="Times New Roman" w:hAnsi="Times New Roman"/>
          <w:sz w:val="24"/>
        </w:rPr>
        <w:t>test_r2 = 0.329 ± 0.233.</w:t>
      </w:r>
    </w:p>
    <w:p>
      <w:pPr>
        <w:spacing w:after="120"/>
        <w:ind w:firstLine="360"/>
        <w:jc w:val="both"/>
      </w:pPr>
      <w:r>
        <w:rPr>
          <w:rFonts w:ascii="Times New Roman" w:hAnsi="Times New Roman"/>
          <w:sz w:val="24"/>
        </w:rPr>
        <w:t>Глубокая конфигурация Deep Depth 1 на тех же данных показывает</w:t>
      </w:r>
    </w:p>
    <w:p>
      <w:pPr>
        <w:spacing w:after="120"/>
        <w:ind w:firstLine="360"/>
        <w:jc w:val="both"/>
      </w:pPr>
      <w:r>
        <w:rPr>
          <w:rFonts w:ascii="Times New Roman" w:hAnsi="Times New Roman"/>
          <w:sz w:val="24"/>
        </w:rPr>
        <w:t>test_rmse = 0.786 ± 0.005,</w:t>
      </w:r>
    </w:p>
    <w:p>
      <w:pPr>
        <w:spacing w:after="120"/>
        <w:ind w:firstLine="360"/>
        <w:jc w:val="both"/>
      </w:pPr>
      <w:r>
        <w:rPr>
          <w:rFonts w:ascii="Times New Roman" w:hAnsi="Times New Roman"/>
          <w:sz w:val="24"/>
        </w:rPr>
        <w:t>test_mae = 0.591 ± 0.003,</w:t>
      </w:r>
    </w:p>
    <w:p>
      <w:pPr>
        <w:spacing w:after="120"/>
        <w:ind w:firstLine="360"/>
        <w:jc w:val="both"/>
      </w:pPr>
      <w:r>
        <w:rPr>
          <w:rFonts w:ascii="Times New Roman" w:hAnsi="Times New Roman"/>
          <w:sz w:val="24"/>
        </w:rPr>
        <w:t>test_r2 = 0.544 ± 0.008,</w:t>
      </w:r>
    </w:p>
    <w:p>
      <w:pPr>
        <w:spacing w:after="120"/>
        <w:ind w:firstLine="360"/>
        <w:jc w:val="both"/>
      </w:pPr>
      <w:r>
        <w:rPr>
          <w:rFonts w:ascii="Times New Roman" w:hAnsi="Times New Roman"/>
          <w:sz w:val="24"/>
        </w:rPr>
        <w:t>а конфигурация Deep Article Demo дает практически те же значения:</w:t>
      </w:r>
    </w:p>
    <w:p>
      <w:pPr>
        <w:spacing w:after="120"/>
        <w:ind w:firstLine="360"/>
        <w:jc w:val="both"/>
      </w:pPr>
      <w:r>
        <w:rPr>
          <w:rFonts w:ascii="Times New Roman" w:hAnsi="Times New Roman"/>
          <w:sz w:val="24"/>
        </w:rPr>
        <w:t>test_rmse = 0.786 ± 0.005,</w:t>
      </w:r>
    </w:p>
    <w:p>
      <w:pPr>
        <w:spacing w:after="120"/>
        <w:ind w:firstLine="360"/>
        <w:jc w:val="both"/>
      </w:pPr>
      <w:r>
        <w:rPr>
          <w:rFonts w:ascii="Times New Roman" w:hAnsi="Times New Roman"/>
          <w:sz w:val="24"/>
        </w:rPr>
        <w:t>test_mae = 0.590 ± 0.003,</w:t>
      </w:r>
    </w:p>
    <w:p>
      <w:pPr>
        <w:spacing w:after="120"/>
        <w:ind w:firstLine="360"/>
        <w:jc w:val="both"/>
      </w:pPr>
      <w:r>
        <w:rPr>
          <w:rFonts w:ascii="Times New Roman" w:hAnsi="Times New Roman"/>
          <w:sz w:val="24"/>
        </w:rPr>
        <w:t>test_r2 = 0.543 ± 0.008.</w:t>
      </w:r>
    </w:p>
    <w:p>
      <w:pPr>
        <w:spacing w:after="120"/>
        <w:ind w:firstLine="360"/>
        <w:jc w:val="both"/>
      </w:pPr>
      <w:r>
        <w:rPr>
          <w:rFonts w:ascii="Times New Roman" w:hAnsi="Times New Roman"/>
          <w:sz w:val="24"/>
        </w:rPr>
        <w:t>Тем самым на полном регрессионном массиве внутренний выигрыш глубины внутри RuFLEX не исчезает, а, напротив, проявляется устойчиво и с заметно меньшим разбросом, чем у плоской базовой конфигурации. Вместе с тем сильнейшим внешним baseline и на этой серии остается градиентный бустинг:</w:t>
      </w:r>
    </w:p>
    <w:p>
      <w:pPr>
        <w:spacing w:after="120"/>
        <w:ind w:firstLine="360"/>
        <w:jc w:val="both"/>
      </w:pPr>
      <w:r>
        <w:rPr>
          <w:rFonts w:ascii="Times New Roman" w:hAnsi="Times New Roman"/>
          <w:sz w:val="24"/>
        </w:rPr>
        <w:t>test_rmse = 0.486 ± 0.001,</w:t>
      </w:r>
    </w:p>
    <w:p>
      <w:pPr>
        <w:spacing w:after="120"/>
        <w:ind w:firstLine="360"/>
        <w:jc w:val="both"/>
      </w:pPr>
      <w:r>
        <w:rPr>
          <w:rFonts w:ascii="Times New Roman" w:hAnsi="Times New Roman"/>
          <w:sz w:val="24"/>
        </w:rPr>
        <w:t>test_mae = 0.334 ± 0.001,</w:t>
      </w:r>
    </w:p>
    <w:p>
      <w:pPr>
        <w:spacing w:after="120"/>
        <w:ind w:firstLine="360"/>
        <w:jc w:val="both"/>
      </w:pPr>
      <w:r>
        <w:rPr>
          <w:rFonts w:ascii="Times New Roman" w:hAnsi="Times New Roman"/>
          <w:sz w:val="24"/>
        </w:rPr>
        <w:t>test_r2 = 0.826 ± 0.001.</w:t>
      </w:r>
    </w:p>
    <w:p>
      <w:pPr>
        <w:spacing w:after="120"/>
        <w:ind w:firstLine="360"/>
        <w:jc w:val="both"/>
      </w:pPr>
      <w:r>
        <w:rPr>
          <w:rFonts w:ascii="Times New Roman" w:hAnsi="Times New Roman"/>
          <w:sz w:val="24"/>
        </w:rPr>
        <w:t>Для классификационной постановки California Value Binary Geo была подготовлена увеличенная сбалансированная выборка объема 16000 наблюдений. На ней плоская базовая конфигурация показывает</w:t>
      </w:r>
    </w:p>
    <w:p>
      <w:pPr>
        <w:spacing w:after="120"/>
        <w:ind w:firstLine="360"/>
        <w:jc w:val="both"/>
      </w:pPr>
      <w:r>
        <w:rPr>
          <w:rFonts w:ascii="Times New Roman" w:hAnsi="Times New Roman"/>
          <w:sz w:val="24"/>
        </w:rPr>
        <w:t>test_accuracy = 0.745 ± 0.001</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0.732 ± 0.006.</w:t>
      </w:r>
    </w:p>
    <w:p>
      <w:pPr>
        <w:spacing w:after="120"/>
        <w:ind w:firstLine="360"/>
        <w:jc w:val="both"/>
      </w:pPr>
      <w:r>
        <w:rPr>
          <w:rFonts w:ascii="Times New Roman" w:hAnsi="Times New Roman"/>
          <w:sz w:val="24"/>
        </w:rPr>
        <w:t>Конфигурация Deep Depth 1 дает</w:t>
      </w:r>
    </w:p>
    <w:p>
      <w:pPr>
        <w:spacing w:after="120"/>
        <w:ind w:firstLine="360"/>
        <w:jc w:val="both"/>
      </w:pPr>
      <w:r>
        <w:rPr>
          <w:rFonts w:ascii="Times New Roman" w:hAnsi="Times New Roman"/>
          <w:sz w:val="24"/>
        </w:rPr>
        <w:t>test_accuracy = 0.762 ± 0.006</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0.748 ± 0.006,</w:t>
      </w:r>
    </w:p>
    <w:p>
      <w:pPr>
        <w:spacing w:after="120"/>
        <w:ind w:firstLine="360"/>
        <w:jc w:val="both"/>
      </w:pPr>
      <w:r>
        <w:rPr>
          <w:rFonts w:ascii="Times New Roman" w:hAnsi="Times New Roman"/>
          <w:sz w:val="24"/>
        </w:rPr>
        <w:t>Deep Article Demo дает</w:t>
      </w:r>
    </w:p>
    <w:p>
      <w:pPr>
        <w:spacing w:after="120"/>
        <w:ind w:firstLine="360"/>
        <w:jc w:val="both"/>
      </w:pPr>
      <w:r>
        <w:rPr>
          <w:rFonts w:ascii="Times New Roman" w:hAnsi="Times New Roman"/>
          <w:sz w:val="24"/>
        </w:rPr>
        <w:t>test_accuracy = 0.762 ± 0.006</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0.749 ± 0.006,</w:t>
      </w:r>
    </w:p>
    <w:p>
      <w:pPr>
        <w:spacing w:after="120"/>
        <w:ind w:firstLine="360"/>
        <w:jc w:val="both"/>
      </w:pPr>
      <w:r>
        <w:rPr>
          <w:rFonts w:ascii="Times New Roman" w:hAnsi="Times New Roman"/>
          <w:sz w:val="24"/>
        </w:rPr>
        <w:t>а Deep No Regularization показывает лучший результат внутри этой enlarged-серии:</w:t>
      </w:r>
    </w:p>
    <w:p>
      <w:pPr>
        <w:spacing w:after="120"/>
        <w:ind w:firstLine="360"/>
        <w:jc w:val="both"/>
      </w:pPr>
      <w:r>
        <w:rPr>
          <w:rFonts w:ascii="Times New Roman" w:hAnsi="Times New Roman"/>
          <w:sz w:val="24"/>
        </w:rPr>
        <w:t>test_accuracy = 0.763 ± 0.011</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0.762 ± 0.016.</w:t>
      </w:r>
    </w:p>
    <w:p>
      <w:pPr>
        <w:spacing w:after="120"/>
        <w:ind w:firstLine="360"/>
        <w:jc w:val="both"/>
      </w:pPr>
      <w:r>
        <w:rPr>
          <w:rFonts w:ascii="Times New Roman" w:hAnsi="Times New Roman"/>
          <w:sz w:val="24"/>
        </w:rPr>
        <w:t>Как и в базовой серии, внешние табличные методы остаются сильнее по чистой метрике; наиболее сильным baseline здесь снова выступает градиентный бустинг:</w:t>
      </w:r>
    </w:p>
    <w:p>
      <w:pPr>
        <w:spacing w:after="120"/>
        <w:ind w:firstLine="360"/>
        <w:jc w:val="both"/>
      </w:pPr>
      <w:r>
        <w:rPr>
          <w:rFonts w:ascii="Times New Roman" w:hAnsi="Times New Roman"/>
          <w:sz w:val="24"/>
        </w:rPr>
        <w:t>test_accuracy = 0.901 ± 0.001</w:t>
      </w:r>
    </w:p>
    <w:p>
      <w:pPr>
        <w:spacing w:after="120"/>
        <w:ind w:firstLine="360"/>
        <w:jc w:val="both"/>
      </w:pPr>
      <w:r>
        <w:rPr>
          <w:rFonts w:ascii="Times New Roman" w:hAnsi="Times New Roman"/>
          <w:sz w:val="24"/>
        </w:rPr>
        <w:t>и</w:t>
      </w:r>
    </w:p>
    <w:p>
      <w:pPr>
        <w:spacing w:after="120"/>
        <w:ind w:firstLine="360"/>
        <w:jc w:val="both"/>
      </w:pPr>
      <w:r>
        <w:rPr>
          <w:rFonts w:ascii="Times New Roman" w:hAnsi="Times New Roman"/>
          <w:sz w:val="24"/>
        </w:rPr>
        <w:t>test_f1 = 0.901 ± 0.001.</w:t>
      </w:r>
    </w:p>
    <w:p>
      <w:pPr>
        <w:spacing w:after="120"/>
        <w:ind w:firstLine="360"/>
        <w:jc w:val="both"/>
      </w:pPr>
      <w:r>
        <w:rPr>
          <w:rFonts w:ascii="Times New Roman" w:hAnsi="Times New Roman"/>
          <w:sz w:val="24"/>
        </w:rPr>
        <w:t>Содержательно эта дополнительная серия важна тем, что она не меняет общий вывод статьи, но делает его более устойчивым. На увеличенных выборках глубокие режимы вновь оказываются лучше плоского baseline внутри семейства RuFLEX и тем самым поддерживают гипотезу о том, что при росте объема данных преимущества умеренной глубины проявляются отчетливее. Одновременно enlarged-серия не отменяет платформенного позиционирования работы: даже при росте выборки RuFLEX пока не превосходит сильные внешние бустинговые и ансамблевые baseline-модели по абсолютной метрике.</w:t>
      </w:r>
    </w:p>
    <w:p>
      <w:pPr>
        <w:pStyle w:val="Heading1"/>
        <w:jc w:val="left"/>
      </w:pPr>
      <w:r>
        <w:t>13. Ограничения и границы интерпретации</w:t>
      </w:r>
    </w:p>
    <w:p>
      <w:pPr>
        <w:spacing w:after="120"/>
        <w:ind w:firstLine="360"/>
        <w:jc w:val="both"/>
      </w:pPr>
      <w:r>
        <w:rPr>
          <w:rFonts w:ascii="Times New Roman" w:hAnsi="Times New Roman"/>
          <w:sz w:val="24"/>
        </w:rPr>
        <w:t>Текущая версия статьи допускает несколько устойчивых выводов.</w:t>
      </w:r>
    </w:p>
    <w:p>
      <w:pPr>
        <w:spacing w:after="120"/>
        <w:ind w:firstLine="360"/>
        <w:jc w:val="both"/>
      </w:pPr>
      <w:r>
        <w:rPr>
          <w:rFonts w:ascii="Times New Roman" w:hAnsi="Times New Roman"/>
          <w:sz w:val="24"/>
        </w:rPr>
        <w:t>Во-первых, RuFLEX представляет собой платформу для построения, обучения, анализа и интерпретации гибридных глубоких нечетких моделей.</w:t>
      </w:r>
    </w:p>
    <w:p>
      <w:pPr>
        <w:spacing w:after="120"/>
        <w:ind w:firstLine="360"/>
        <w:jc w:val="both"/>
      </w:pPr>
      <w:r>
        <w:rPr>
          <w:rFonts w:ascii="Times New Roman" w:hAnsi="Times New Roman"/>
          <w:sz w:val="24"/>
        </w:rPr>
        <w:t>Во-вторых, платформа объединяет модуль переменных и функций принадлежности, правиловый контур, модуль глубокого нечеткого формирования признаков, плоский интерпретируемый режим, средства совместного обучения и панель интерпретации.</w:t>
      </w:r>
    </w:p>
    <w:p>
      <w:pPr>
        <w:spacing w:after="120"/>
        <w:ind w:firstLine="360"/>
        <w:jc w:val="both"/>
      </w:pPr>
      <w:r>
        <w:rPr>
          <w:rFonts w:ascii="Times New Roman" w:hAnsi="Times New Roman"/>
          <w:sz w:val="24"/>
        </w:rPr>
        <w:t>В-третьих, на регрессионной геоориентированной задаче глубокий режим показывает убедимое преимущество над плоской базовой конфигурацией внутри семейства RuFLEX.</w:t>
      </w:r>
    </w:p>
    <w:p>
      <w:pPr>
        <w:spacing w:after="120"/>
        <w:ind w:firstLine="360"/>
        <w:jc w:val="both"/>
      </w:pPr>
      <w:r>
        <w:rPr>
          <w:rFonts w:ascii="Times New Roman" w:hAnsi="Times New Roman"/>
          <w:sz w:val="24"/>
        </w:rPr>
        <w:t>В-четвертых, на текущих табличных данных глубокий режим не обязан быть лучшим по чистой метрике среди всех внешних baseline-моделей, включая градиентный бустинг и случайный лес, и это не противоречит платформенной ценности RuFLEX.</w:t>
      </w:r>
    </w:p>
    <w:p>
      <w:pPr>
        <w:spacing w:after="120"/>
        <w:ind w:firstLine="360"/>
        <w:jc w:val="both"/>
      </w:pPr>
      <w:r>
        <w:rPr>
          <w:rFonts w:ascii="Times New Roman" w:hAnsi="Times New Roman"/>
          <w:sz w:val="24"/>
        </w:rPr>
        <w:t>В-пятых, независимая задача Covertype Binary Geo выявляет ограничение текущего табличного контура и тем самым содержательно поддерживает необходимость дальнейшего развития пространственного модуля.</w:t>
      </w:r>
    </w:p>
    <w:p>
      <w:pPr>
        <w:spacing w:after="120"/>
        <w:ind w:firstLine="360"/>
        <w:jc w:val="both"/>
      </w:pPr>
      <w:r>
        <w:rPr>
          <w:rFonts w:ascii="Times New Roman" w:hAnsi="Times New Roman"/>
          <w:sz w:val="24"/>
        </w:rPr>
        <w:t>Наряду с этим в статье сознательно удерживаются границы утверждений. Пространственный сверточный контур представлен как архитектурно включенный и расширяемый модуль, но не как уже зрелая и широко верифицированная прикладная подсистема. Аналогично логическая прослеживаемость правил и контрфактуальный анализ рассматриваются как естественное направление развития текущего интерпретационного контура, а не как полностью завершенные пользовательские режимы. Точно так же экспериментальные результаты текущей версии статьи не следует трактовать как окончательный full-data verdict: базовая серия относится к контролируемому benchmark-сценарию на фиксированных подвыборках, тогда как дополнительная enlarged-проверка лишь частично усиливает выводы и не заменяет более широкого full-data исследования с большим числом seed.</w:t>
      </w:r>
    </w:p>
    <w:p>
      <w:pPr>
        <w:pStyle w:val="Heading1"/>
        <w:jc w:val="left"/>
      </w:pPr>
      <w:r>
        <w:t>14. Состав визуального пакета</w:t>
      </w:r>
    </w:p>
    <w:p>
      <w:pPr>
        <w:spacing w:after="120"/>
        <w:ind w:firstLine="360"/>
        <w:jc w:val="both"/>
      </w:pPr>
      <w:r>
        <w:rPr>
          <w:rFonts w:ascii="Times New Roman" w:hAnsi="Times New Roman"/>
          <w:sz w:val="24"/>
        </w:rPr>
        <w:t>В финальный пакет включены три схемы, отражающие архитектуру платформы, модельный контур и контур интерпретации. Дополнительно подготовлены boards и краткие обзорные графики по трем benchmark-задачам. Такое визуальное сопровождение позволяет отделить системную архитектуру платформы от численных результатов и сделать подачу статьи более прозрачной.</w:t>
      </w:r>
    </w:p>
    <w:p>
      <w:pPr>
        <w:spacing w:after="120"/>
        <w:ind w:firstLine="360"/>
        <w:jc w:val="both"/>
      </w:pPr>
      <w:r>
        <w:rPr>
          <w:rFonts w:ascii="Times New Roman" w:hAnsi="Times New Roman"/>
          <w:sz w:val="24"/>
        </w:rPr>
        <w:t>В качестве минимально необходимого набора в основной статье достаточно использовать общую архитектурную схему, схему модельного контура, схему интерпретации и итоговые таблицы по регрессии и классификации. Boards и обзорные графики могут быть использованы либо в основной статье при достаточном объеме, либо в расширенных материалах.</w:t>
      </w:r>
    </w:p>
    <w:p>
      <w:pPr>
        <w:pStyle w:val="Heading1"/>
        <w:jc w:val="left"/>
      </w:pPr>
      <w:r>
        <w:t>15. Заключительный комментарий</w:t>
      </w:r>
    </w:p>
    <w:p>
      <w:pPr>
        <w:spacing w:after="120"/>
        <w:ind w:firstLine="360"/>
        <w:jc w:val="both"/>
      </w:pPr>
      <w:r>
        <w:rPr>
          <w:rFonts w:ascii="Times New Roman" w:hAnsi="Times New Roman"/>
          <w:sz w:val="24"/>
        </w:rPr>
        <w:t>Расширенные материалы подтверждают, что RuFLEX следует рассматривать прежде всего как гибридную платформу глубокого нечеткого интеллекта для геоданных, в которой глубина означает последовательное построение интерпретируемых нечетких концептов. Локальные правиловые блоки выступают механизмом контроля сложности и основой для скрытых представлений. Совместное обучение охватывает функции принадлежности, правила и внутренние концептуальные уровни. Интерпретация восстанавливается из самой структуры модели.</w:t>
      </w:r>
    </w:p>
    <w:p>
      <w:pPr>
        <w:spacing w:after="120"/>
        <w:ind w:firstLine="360"/>
        <w:jc w:val="both"/>
      </w:pPr>
      <w:r>
        <w:rPr>
          <w:rFonts w:ascii="Times New Roman" w:hAnsi="Times New Roman"/>
          <w:sz w:val="24"/>
        </w:rPr>
        <w:t>Финальная многосидовая серия показывает, что умеренная глубина усиливает RuFLEX относительно плоского базового режима на регрессионной постановке, тогда как сильные внешние табличные методы, прежде всего градиентный бустинг и случайный лес, на компактных табличных выборках могут быть лучше по чистой метрике. Дополнительная enlarged-проверка на полном California Housing Regression и на увеличенной California Value Binary Geo не меняет этого позиционирования, но подтверждает сохранение внутреннего выигрыша глубоких режимов над плоским baseline при росте объема данных. Covertype Binary Geo, в свою очередь, выявляет границу текущего табличного контура и тем самым подчеркивает необходимость дальнейшего развития пространственного направления.</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