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RuFLEX: A Hybrid Deep Fuzzy Learning Platform for Geodata with Interpretable Analysis of Rules, Factors, and Hidden Concepts</w:t>
      </w:r>
    </w:p>
    <w:p>
      <w:pPr>
        <w:pStyle w:val="BodyText"/>
        <w:bidi w:val="0"/>
        <w:jc w:val="start"/>
        <w:rPr/>
      </w:pPr>
      <w:r>
        <w:rPr/>
        <w:t>Author One, Author Two</w:t>
      </w:r>
    </w:p>
    <w:p>
      <w:pPr>
        <w:pStyle w:val="BodyText"/>
        <w:bidi w:val="0"/>
        <w:jc w:val="start"/>
        <w:rPr/>
      </w:pPr>
      <w:r>
        <w:rPr/>
        <w:t>Organization, City, Country</w:t>
        <w:br/>
      </w:r>
      <w:hyperlink r:id="rId2">
        <w:r>
          <w:rPr>
            <w:rStyle w:val="Hyperlink"/>
          </w:rPr>
          <w:t>author1@example.com</w:t>
        </w:r>
      </w:hyperlink>
      <w:r>
        <w:rPr/>
        <w:t xml:space="preserve">, </w:t>
      </w:r>
      <w:hyperlink r:id="rId3">
        <w:r>
          <w:rPr>
            <w:rStyle w:val="Hyperlink"/>
          </w:rPr>
          <w:t>author2@example.com</w:t>
        </w:r>
      </w:hyperlink>
    </w:p>
    <w:p>
      <w:pPr>
        <w:pStyle w:val="Heading2"/>
        <w:bidi w:val="0"/>
        <w:ind w:hanging="0" w:start="0"/>
        <w:jc w:val="start"/>
        <w:rPr/>
      </w:pPr>
      <w:r>
        <w:rPr/>
        <w:t>Abstract</w:t>
      </w:r>
    </w:p>
    <w:p>
      <w:pPr>
        <w:pStyle w:val="BodyText"/>
        <w:bidi w:val="0"/>
        <w:jc w:val="start"/>
        <w:rPr/>
      </w:pPr>
      <w:r>
        <w:rPr/>
        <w:t>This paper presents RuFLEX, a platform for hybrid deep fuzzy learning oriented toward geoanalytics, spatially informed classification, forecasting, and intelligent decision support. In contrast to black-box approaches, RuFLEX combines interpretable rule-based mechanisms, differentiable fuzzy layers, and deep fuzzy feature-learning architectures within a unified workflow implemented in Python and PyTorch. The platform supports the definition of variables, linguistic terms, membership functions, and rules; the training of membership-function parameters, local rule bases, and hidden representations; and the comparison of flat neuro-fuzzy baseline models against deeper fuzzy configurations. The software core is delivered as a Python SDK and toolbox-style API, while the user-facing contour includes a web-based visual modeling interface, reproducible experiment tooling, and an Explainability Dashboard for analyzing fuzzification, activated rules, hidden concepts, and factor contributions to the final decision. The platform is designed to be extensible toward spatial fuzzy modules, stronger logical traceability, and counterfactual analysis in future work.</w:t>
      </w:r>
    </w:p>
    <w:p>
      <w:pPr>
        <w:pStyle w:val="Heading2"/>
        <w:bidi w:val="0"/>
        <w:ind w:hanging="0" w:start="0"/>
        <w:jc w:val="start"/>
        <w:rPr/>
      </w:pPr>
      <w:r>
        <w:rPr/>
        <w:t>Keywords</w:t>
      </w:r>
    </w:p>
    <w:p>
      <w:pPr>
        <w:pStyle w:val="BodyText"/>
        <w:bidi w:val="0"/>
        <w:jc w:val="start"/>
        <w:rPr/>
      </w:pPr>
      <w:r>
        <w:rPr/>
        <w:t>deep fuzzy learning; hybrid neuro-fuzzy models; deep fuzzy feature learning; explainability; geoanalytics; interpretable machine learning</w:t>
      </w:r>
    </w:p>
    <w:p>
      <w:pPr>
        <w:pStyle w:val="Heading2"/>
        <w:bidi w:val="0"/>
        <w:ind w:hanging="0" w:start="0"/>
        <w:jc w:val="start"/>
        <w:rPr/>
      </w:pPr>
      <w:r>
        <w:rPr/>
        <w:t>I. Introduction</w:t>
      </w:r>
    </w:p>
    <w:p>
      <w:pPr>
        <w:pStyle w:val="BodyText"/>
        <w:bidi w:val="0"/>
        <w:jc w:val="start"/>
        <w:rPr/>
      </w:pPr>
      <w:r>
        <w:rPr/>
        <w:t>Geoanalytics, spatially informed classification, forecasting, and intelligent decision support require a difficult combination of predictive power and interpretability. In practice, this creates a persistent tension between black-box architectures that often provide strong predictive performance and rule-based approaches that provide transparent and expert-verifiable inference. Neuro-fuzzy systems remain one of the most promising directions for closing this gap because they allow fuzzy reasoning and trainable parametric components to coexist in one computational contour [1].</w:t>
      </w:r>
    </w:p>
    <w:p>
      <w:pPr>
        <w:pStyle w:val="BodyText"/>
        <w:bidi w:val="0"/>
        <w:jc w:val="start"/>
        <w:rPr/>
      </w:pPr>
      <w:r>
        <w:rPr/>
        <w:t xml:space="preserve">RuFLEX is introduced in this work not as a single model, but as an extensible software platform for a family of hybrid deep fuzzy architectures. The implementation is built on top of a vendored deep fuzzy backend originating from the </w:t>
      </w:r>
      <w:r>
        <w:rPr>
          <w:rFonts w:ascii="Noto Sans Mono" w:hAnsi="Noto Sans Mono"/>
        </w:rPr>
        <w:t>deep-neuro-fuzzy</w:t>
      </w:r>
      <w:r>
        <w:rPr/>
        <w:t xml:space="preserve"> repository [7] and extends it with its own project model, SDK, visual workbench, explainability tooling, and reproducible experiment layer. This separation makes it possible to preserve the deep fuzzy backend lineage while developing a broader platform for research and applied studies.</w:t>
      </w:r>
    </w:p>
    <w:p>
      <w:pPr>
        <w:pStyle w:val="BodyText"/>
        <w:bidi w:val="0"/>
        <w:jc w:val="start"/>
        <w:rPr/>
      </w:pPr>
      <w:r>
        <w:rPr/>
        <w:t>The goal of the work is to design and validate an extensible software platform for building, training, analyzing, and interpreting hybrid deep fuzzy models, and to demonstrate its practical utility on geo-oriented tabular prediction tasks.</w:t>
      </w:r>
    </w:p>
    <w:p>
      <w:pPr>
        <w:pStyle w:val="Heading2"/>
        <w:bidi w:val="0"/>
        <w:ind w:hanging="0" w:start="0"/>
        <w:jc w:val="start"/>
        <w:rPr/>
      </w:pPr>
      <w:r>
        <w:rPr/>
        <w:t>II. Related Work and Problem Framing</w:t>
      </w:r>
    </w:p>
    <w:p>
      <w:pPr>
        <w:pStyle w:val="BodyText"/>
        <w:bidi w:val="0"/>
        <w:jc w:val="start"/>
        <w:rPr/>
      </w:pPr>
      <w:r>
        <w:rPr/>
        <w:t>ANFIS remains one of the landmark references for interpretable neuro-fuzzy modeling [1], showing that membership-function parameters and rule-based structures can be learned in an adaptive network. More recent developments in hybrid and deep fuzzy systems have expanded this idea by using fuzzy layers and rule-based components not only as final predictors but also as mechanisms for constructing internal feature representations. Modern software support is also essential: PyTorch provides the differentiable training environment used in this work [2], while the data preparation and baseline tabular tooling rely on the scikit-learn ecosystem [3].</w:t>
      </w:r>
    </w:p>
    <w:p>
      <w:pPr>
        <w:pStyle w:val="BodyText"/>
        <w:bidi w:val="0"/>
        <w:jc w:val="start"/>
        <w:rPr/>
      </w:pPr>
      <w:r>
        <w:rPr/>
        <w:t>From an application perspective, the main challenge is not only to deliver accurate predictions but also to preserve a meaningful interpretation of factors, rules, and intermediate concepts. This is aligned with the broader argument for interpretable modeling in high-stakes and expert-facing settings [5]. Recent work also indicates that fuzzy-rule-based structures can be integrated into deeper representation-learning pipelines [6].</w:t>
      </w:r>
    </w:p>
    <w:p>
      <w:pPr>
        <w:pStyle w:val="BodyText"/>
        <w:bidi w:val="0"/>
        <w:jc w:val="start"/>
        <w:rPr/>
      </w:pPr>
      <w:r>
        <w:rPr/>
        <w:t>The problem addressed here is therefore the creation of a platform that simultaneously supports flat and deeper fuzzy configurations, allows explicit specification of variables, terms, membership functions, and rule bases, enables differentiable training and reproducible studies, and provides explainability beyond final feature importance alone.</w:t>
      </w:r>
    </w:p>
    <w:p>
      <w:pPr>
        <w:pStyle w:val="Heading2"/>
        <w:bidi w:val="0"/>
        <w:ind w:hanging="0" w:start="0"/>
        <w:jc w:val="start"/>
        <w:rPr/>
      </w:pPr>
      <w:r>
        <w:rPr/>
        <w:t>III. RuFLEX Platform Architecture</w:t>
      </w:r>
    </w:p>
    <w:p>
      <w:pPr>
        <w:pStyle w:val="BodyText"/>
        <w:bidi w:val="0"/>
        <w:jc w:val="start"/>
        <w:rPr/>
      </w:pPr>
      <w:r>
        <w:rPr/>
        <w:t xml:space="preserve">RuFLEX is implemented as a platform layer on top of the vendored </w:t>
      </w:r>
      <w:r>
        <w:rPr>
          <w:rFonts w:ascii="Noto Sans Mono" w:hAnsi="Noto Sans Mono"/>
        </w:rPr>
        <w:t>ruanfis</w:t>
      </w:r>
      <w:r>
        <w:rPr/>
        <w:t xml:space="preserve"> backend derived from </w:t>
      </w:r>
      <w:r>
        <w:rPr>
          <w:rFonts w:ascii="Noto Sans Mono" w:hAnsi="Noto Sans Mono"/>
        </w:rPr>
        <w:t>deep-neuro-fuzzy</w:t>
      </w:r>
      <w:r>
        <w:rPr/>
        <w:t xml:space="preserve"> [7]. This design deliberately separates backend model execution from platform services. The backend is responsible for deep fuzzy modeling, activation computation, rule-based layers, and training primitives, while RuFLEX adds project entities, serialization, article benchmarks, UI flows, and explainability artifacts.</w:t>
      </w:r>
    </w:p>
    <w:p>
      <w:pPr>
        <w:pStyle w:val="BodyText"/>
        <w:bidi w:val="0"/>
        <w:jc w:val="start"/>
        <w:rPr/>
      </w:pPr>
      <w:r>
        <w:rPr/>
        <w:t>The current architecture includes:</w:t>
      </w:r>
    </w:p>
    <w:p>
      <w:pPr>
        <w:pStyle w:val="BodyText"/>
        <w:numPr>
          <w:ilvl w:val="0"/>
          <w:numId w:val="2"/>
        </w:numPr>
        <w:tabs>
          <w:tab w:val="clear" w:pos="709"/>
          <w:tab w:val="left" w:pos="709" w:leader="none"/>
        </w:tabs>
        <w:bidi w:val="0"/>
        <w:ind w:hanging="283" w:start="709"/>
        <w:jc w:val="start"/>
        <w:rPr/>
      </w:pPr>
      <w:r>
        <w:rPr/>
        <w:t>a core layer with variables, terms, membership functions, rules, rule bases, and model specifications;</w:t>
      </w:r>
    </w:p>
    <w:p>
      <w:pPr>
        <w:pStyle w:val="BodyText"/>
        <w:numPr>
          <w:ilvl w:val="0"/>
          <w:numId w:val="2"/>
        </w:numPr>
        <w:tabs>
          <w:tab w:val="clear" w:pos="709"/>
          <w:tab w:val="left" w:pos="709" w:leader="none"/>
        </w:tabs>
        <w:bidi w:val="0"/>
        <w:ind w:hanging="283" w:start="709"/>
        <w:jc w:val="start"/>
        <w:rPr/>
      </w:pPr>
      <w:r>
        <w:rPr/>
        <w:t>a model layer with flat neuro-fuzzy baselines and deep fuzzy feature learning;</w:t>
      </w:r>
    </w:p>
    <w:p>
      <w:pPr>
        <w:pStyle w:val="BodyText"/>
        <w:numPr>
          <w:ilvl w:val="0"/>
          <w:numId w:val="2"/>
        </w:numPr>
        <w:tabs>
          <w:tab w:val="clear" w:pos="709"/>
          <w:tab w:val="left" w:pos="709" w:leader="none"/>
        </w:tabs>
        <w:bidi w:val="0"/>
        <w:ind w:hanging="283" w:start="709"/>
        <w:jc w:val="start"/>
        <w:rPr/>
      </w:pPr>
      <w:r>
        <w:rPr/>
        <w:t>a training layer with bootstrap initialization, stage-wise pretraining, refinement, and fine-tuning;</w:t>
      </w:r>
    </w:p>
    <w:p>
      <w:pPr>
        <w:pStyle w:val="BodyText"/>
        <w:numPr>
          <w:ilvl w:val="0"/>
          <w:numId w:val="2"/>
        </w:numPr>
        <w:tabs>
          <w:tab w:val="clear" w:pos="709"/>
          <w:tab w:val="left" w:pos="709" w:leader="none"/>
        </w:tabs>
        <w:bidi w:val="0"/>
        <w:ind w:hanging="283" w:start="709"/>
        <w:jc w:val="start"/>
        <w:rPr/>
      </w:pPr>
      <w:r>
        <w:rPr/>
        <w:t>an explainability layer with dashboard payloads, rule records, concept flow, and rule-chain exports;</w:t>
      </w:r>
    </w:p>
    <w:p>
      <w:pPr>
        <w:pStyle w:val="BodyText"/>
        <w:numPr>
          <w:ilvl w:val="0"/>
          <w:numId w:val="2"/>
        </w:numPr>
        <w:tabs>
          <w:tab w:val="clear" w:pos="709"/>
          <w:tab w:val="left" w:pos="709" w:leader="none"/>
        </w:tabs>
        <w:bidi w:val="0"/>
        <w:ind w:hanging="283" w:start="709"/>
        <w:jc w:val="start"/>
        <w:rPr/>
      </w:pPr>
      <w:r>
        <w:rPr/>
        <w:t>a tooling layer with a Python SDK, a toolbox-style API, a Streamlit workbench, and reproducible study pipelines.</w:t>
      </w:r>
    </w:p>
    <w:p>
      <w:pPr>
        <w:pStyle w:val="BodyText"/>
        <w:bidi w:val="0"/>
        <w:jc w:val="start"/>
        <w:rPr/>
      </w:pPr>
      <w:r>
        <w:rPr/>
        <w:t>This structure allows RuFLEX to function as a platform rather than a single fixed architecture. Depending on the task, users can compare configurations not only by predictive quality, but also by compactness and interpretability.</w:t>
      </w:r>
    </w:p>
    <w:p>
      <w:pPr>
        <w:pStyle w:val="Heading2"/>
        <w:bidi w:val="0"/>
        <w:ind w:hanging="0" w:start="0"/>
        <w:jc w:val="start"/>
        <w:rPr/>
      </w:pPr>
      <w:r>
        <w:rPr/>
        <w:t>IV. Modeling Modes, Training, and Explainability</w:t>
      </w:r>
    </w:p>
    <w:p>
      <w:pPr>
        <w:pStyle w:val="BodyText"/>
        <w:bidi w:val="0"/>
        <w:jc w:val="start"/>
        <w:rPr/>
      </w:pPr>
      <w:r>
        <w:rPr/>
        <w:t>The first supported modeling mode is a flat neuro-fuzzy baseline. It is intended as an interpretable starting point for fuzzification analysis, membership-function visualization, and local rule inspection. Its structural compactness makes it especially useful in expert-facing scenarios where model transparency is a primary concern.</w:t>
      </w:r>
    </w:p>
    <w:p>
      <w:pPr>
        <w:pStyle w:val="BodyText"/>
        <w:bidi w:val="0"/>
        <w:jc w:val="start"/>
        <w:rPr/>
      </w:pPr>
      <w:r>
        <w:rPr/>
        <w:t>The second main mode is deep fuzzy feature learning. In this regime, hidden layers are interpreted as mechanisms for constructing new fuzzy concepts rather than as opaque latent states. Local blocks constrain rule-base growth, while the final decision layer operates in the space of hidden concepts. This preserves explainability while extending the representational power of the model.</w:t>
      </w:r>
    </w:p>
    <w:p>
      <w:pPr>
        <w:pStyle w:val="BodyText"/>
        <w:bidi w:val="0"/>
        <w:jc w:val="start"/>
        <w:rPr/>
      </w:pPr>
      <w:r>
        <w:rPr/>
        <w:t>The training stack supports bootstrap initialization, stage-wise pretraining, refinement cycles, and end-to-end fine-tuning. The same workflow can be executed through the SDK, the toolbox API, or the visual workbench. Explainability is integrated directly into the model pipeline and includes membership-function plots, rule activations, normalized rule weights, hidden-concept contributions, decision-layer concept views, and sample-level concept flow and rule-chain exports.</w:t>
      </w:r>
    </w:p>
    <w:p>
      <w:pPr>
        <w:pStyle w:val="Heading2"/>
        <w:bidi w:val="0"/>
        <w:ind w:hanging="0" w:start="0"/>
        <w:jc w:val="start"/>
        <w:rPr/>
      </w:pPr>
      <w:r>
        <w:rPr/>
        <w:t>V. Experimental Setup</w:t>
      </w:r>
    </w:p>
    <w:p>
      <w:pPr>
        <w:pStyle w:val="BodyText"/>
        <w:bidi w:val="0"/>
        <w:jc w:val="start"/>
        <w:rPr/>
      </w:pPr>
      <w:r>
        <w:rPr/>
        <w:t xml:space="preserve">Two geo-oriented tabular tasks were used for validation. The first task, California Housing Regression, is based on </w:t>
      </w:r>
      <w:r>
        <w:rPr>
          <w:rFonts w:ascii="Noto Sans Mono" w:hAnsi="Noto Sans Mono"/>
        </w:rPr>
        <w:t>sklearn.fetch_california_housing</w:t>
      </w:r>
      <w:r>
        <w:rPr/>
        <w:t xml:space="preserve"> [3, 4] with the spatial predictors </w:t>
      </w:r>
      <w:r>
        <w:rPr>
          <w:rFonts w:ascii="Noto Sans Mono" w:hAnsi="Noto Sans Mono"/>
        </w:rPr>
        <w:t>Latitude</w:t>
      </w:r>
      <w:r>
        <w:rPr/>
        <w:t xml:space="preserve"> and </w:t>
      </w:r>
      <w:r>
        <w:rPr>
          <w:rFonts w:ascii="Noto Sans Mono" w:hAnsi="Noto Sans Mono"/>
        </w:rPr>
        <w:t>Longitude</w:t>
      </w:r>
      <w:r>
        <w:rPr/>
        <w:t xml:space="preserve"> preserved explicitly. A 4096-sample subset was used, and the target variable was </w:t>
      </w:r>
      <w:r>
        <w:rPr>
          <w:rFonts w:ascii="Noto Sans Mono" w:hAnsi="Noto Sans Mono"/>
        </w:rPr>
        <w:t>MedHouseVal</w:t>
      </w:r>
      <w:r>
        <w:rPr/>
        <w:t>.</w:t>
      </w:r>
    </w:p>
    <w:p>
      <w:pPr>
        <w:pStyle w:val="BodyText"/>
        <w:bidi w:val="0"/>
        <w:jc w:val="start"/>
        <w:rPr/>
      </w:pPr>
      <w:r>
        <w:rPr/>
        <w:t xml:space="preserve">The second task, California Value Binary Geo, is derived from the same source dataset but formulated as a balanced binary classification problem. The target variable </w:t>
      </w:r>
      <w:r>
        <w:rPr>
          <w:rFonts w:ascii="Noto Sans Mono" w:hAnsi="Noto Sans Mono"/>
        </w:rPr>
        <w:t>HighValue</w:t>
      </w:r>
      <w:r>
        <w:rPr/>
        <w:t xml:space="preserve"> is defined using the median of </w:t>
      </w:r>
      <w:r>
        <w:rPr>
          <w:rFonts w:ascii="Noto Sans Mono" w:hAnsi="Noto Sans Mono"/>
        </w:rPr>
        <w:t>MedHouseVal</w:t>
      </w:r>
      <w:r>
        <w:rPr/>
        <w:t>, which preserves the geographic context while enabling a clear classification scenario.</w:t>
      </w:r>
    </w:p>
    <w:p>
      <w:pPr>
        <w:pStyle w:val="BodyText"/>
        <w:bidi w:val="0"/>
        <w:jc w:val="start"/>
        <w:rPr/>
      </w:pPr>
      <w:r>
        <w:rPr/>
        <w:t>For both tasks, four configurations were compared:</w:t>
      </w:r>
    </w:p>
    <w:p>
      <w:pPr>
        <w:pStyle w:val="BodyText"/>
        <w:numPr>
          <w:ilvl w:val="0"/>
          <w:numId w:val="3"/>
        </w:numPr>
        <w:tabs>
          <w:tab w:val="clear" w:pos="709"/>
          <w:tab w:val="left" w:pos="709" w:leader="none"/>
        </w:tabs>
        <w:bidi w:val="0"/>
        <w:ind w:hanging="283" w:start="709"/>
        <w:jc w:val="start"/>
        <w:rPr/>
      </w:pPr>
      <w:r>
        <w:rPr/>
        <w:t>Flat Baseline;</w:t>
      </w:r>
    </w:p>
    <w:p>
      <w:pPr>
        <w:pStyle w:val="BodyText"/>
        <w:numPr>
          <w:ilvl w:val="0"/>
          <w:numId w:val="3"/>
        </w:numPr>
        <w:tabs>
          <w:tab w:val="clear" w:pos="709"/>
          <w:tab w:val="left" w:pos="709" w:leader="none"/>
        </w:tabs>
        <w:bidi w:val="0"/>
        <w:ind w:hanging="283" w:start="709"/>
        <w:jc w:val="start"/>
        <w:rPr/>
      </w:pPr>
      <w:r>
        <w:rPr/>
        <w:t>Flat Interpretable;</w:t>
      </w:r>
    </w:p>
    <w:p>
      <w:pPr>
        <w:pStyle w:val="BodyText"/>
        <w:numPr>
          <w:ilvl w:val="0"/>
          <w:numId w:val="3"/>
        </w:numPr>
        <w:tabs>
          <w:tab w:val="clear" w:pos="709"/>
          <w:tab w:val="left" w:pos="709" w:leader="none"/>
        </w:tabs>
        <w:bidi w:val="0"/>
        <w:ind w:hanging="283" w:start="709"/>
        <w:jc w:val="start"/>
        <w:rPr/>
      </w:pPr>
      <w:r>
        <w:rPr/>
        <w:t>Deep Article Demo;</w:t>
      </w:r>
    </w:p>
    <w:p>
      <w:pPr>
        <w:pStyle w:val="BodyText"/>
        <w:numPr>
          <w:ilvl w:val="0"/>
          <w:numId w:val="3"/>
        </w:numPr>
        <w:tabs>
          <w:tab w:val="clear" w:pos="709"/>
          <w:tab w:val="left" w:pos="709" w:leader="none"/>
        </w:tabs>
        <w:bidi w:val="0"/>
        <w:ind w:hanging="283" w:start="709"/>
        <w:jc w:val="start"/>
        <w:rPr/>
      </w:pPr>
      <w:r>
        <w:rPr/>
        <w:t>Deep Research.</w:t>
      </w:r>
    </w:p>
    <w:p>
      <w:pPr>
        <w:pStyle w:val="BodyText"/>
        <w:bidi w:val="0"/>
        <w:jc w:val="start"/>
        <w:rPr/>
      </w:pPr>
      <w:r>
        <w:rPr/>
        <w:t>All experiments were executed through a reproducible article-suite workflow that stores benchmark runs, metrics, figures, tables, and text reports.</w:t>
      </w:r>
    </w:p>
    <w:p>
      <w:pPr>
        <w:pStyle w:val="Heading2"/>
        <w:bidi w:val="0"/>
        <w:ind w:hanging="0" w:start="0"/>
        <w:jc w:val="start"/>
        <w:rPr/>
      </w:pPr>
      <w:r>
        <w:rPr/>
        <w:t>VI. Results and Discussion</w:t>
      </w:r>
    </w:p>
    <w:p>
      <w:pPr>
        <w:pStyle w:val="BodyText"/>
        <w:bidi w:val="0"/>
        <w:jc w:val="start"/>
        <w:rPr/>
      </w:pPr>
      <w:r>
        <w:rPr/>
        <w:t xml:space="preserve">On California Housing Regression, the best result was achieved by the </w:t>
      </w:r>
      <w:r>
        <w:rPr>
          <w:rFonts w:ascii="Noto Sans Mono" w:hAnsi="Noto Sans Mono"/>
        </w:rPr>
        <w:t>Deep Research</w:t>
      </w:r>
      <w:r>
        <w:rPr/>
        <w:t xml:space="preserve"> configuration, which obtained </w:t>
      </w:r>
      <w:r>
        <w:rPr>
          <w:rFonts w:ascii="Noto Sans Mono" w:hAnsi="Noto Sans Mono"/>
        </w:rPr>
        <w:t>test_rmse = 0.795757</w:t>
      </w:r>
      <w:r>
        <w:rPr/>
        <w:t xml:space="preserve">, </w:t>
      </w:r>
      <w:r>
        <w:rPr>
          <w:rFonts w:ascii="Noto Sans Mono" w:hAnsi="Noto Sans Mono"/>
        </w:rPr>
        <w:t>test_mae = 0.593770</w:t>
      </w:r>
      <w:r>
        <w:rPr/>
        <w:t xml:space="preserve">, and </w:t>
      </w:r>
      <w:r>
        <w:rPr>
          <w:rFonts w:ascii="Noto Sans Mono" w:hAnsi="Noto Sans Mono"/>
        </w:rPr>
        <w:t>test_r2 = 0.507159</w:t>
      </w:r>
      <w:r>
        <w:rPr/>
        <w:t xml:space="preserve">. By comparison, </w:t>
      </w:r>
      <w:r>
        <w:rPr>
          <w:rFonts w:ascii="Noto Sans Mono" w:hAnsi="Noto Sans Mono"/>
        </w:rPr>
        <w:t>Flat Baseline</w:t>
      </w:r>
      <w:r>
        <w:rPr/>
        <w:t xml:space="preserve"> produced </w:t>
      </w:r>
      <w:r>
        <w:rPr>
          <w:rFonts w:ascii="Noto Sans Mono" w:hAnsi="Noto Sans Mono"/>
        </w:rPr>
        <w:t>test_rmse = 0.890950</w:t>
      </w:r>
      <w:r>
        <w:rPr/>
        <w:t xml:space="preserve"> and </w:t>
      </w:r>
      <w:r>
        <w:rPr>
          <w:rFonts w:ascii="Noto Sans Mono" w:hAnsi="Noto Sans Mono"/>
        </w:rPr>
        <w:t>test_r2 = 0.382192</w:t>
      </w:r>
      <w:r>
        <w:rPr/>
        <w:t>. This indicates that deep fuzzy feature learning provides a measurable gain over the flat baseline in the regression setting.</w:t>
      </w:r>
    </w:p>
    <w:p>
      <w:pPr>
        <w:pStyle w:val="BodyText"/>
        <w:bidi w:val="0"/>
        <w:jc w:val="start"/>
        <w:rPr/>
      </w:pPr>
      <w:r>
        <w:rPr/>
        <w:t xml:space="preserve">On California Value Binary Geo, the best result was achieved by </w:t>
      </w:r>
      <w:r>
        <w:rPr>
          <w:rFonts w:ascii="Noto Sans Mono" w:hAnsi="Noto Sans Mono"/>
        </w:rPr>
        <w:t>Flat Interpretable</w:t>
      </w:r>
      <w:r>
        <w:rPr/>
        <w:t xml:space="preserve">, with </w:t>
      </w:r>
      <w:r>
        <w:rPr>
          <w:rFonts w:ascii="Noto Sans Mono" w:hAnsi="Noto Sans Mono"/>
        </w:rPr>
        <w:t>test_accuracy = 0.746341</w:t>
      </w:r>
      <w:r>
        <w:rPr/>
        <w:t xml:space="preserve">, </w:t>
      </w:r>
      <w:r>
        <w:rPr>
          <w:rFonts w:ascii="Noto Sans Mono" w:hAnsi="Noto Sans Mono"/>
        </w:rPr>
        <w:t>test_precision = 0.743073</w:t>
      </w:r>
      <w:r>
        <w:rPr/>
        <w:t xml:space="preserve">, </w:t>
      </w:r>
      <w:r>
        <w:rPr>
          <w:rFonts w:ascii="Noto Sans Mono" w:hAnsi="Noto Sans Mono"/>
        </w:rPr>
        <w:t>test_recall = 0.735661</w:t>
      </w:r>
      <w:r>
        <w:rPr/>
        <w:t xml:space="preserve">, and </w:t>
      </w:r>
      <w:r>
        <w:rPr>
          <w:rFonts w:ascii="Noto Sans Mono" w:hAnsi="Noto Sans Mono"/>
        </w:rPr>
        <w:t>test_f1 = 0.739348</w:t>
      </w:r>
      <w:r>
        <w:rPr/>
        <w:t>. This result is conceptually important because it shows that the platform does not enforce one universally best architecture. In one task, a deeper fuzzy configuration is preferable, while in another, a more compact and structurally interpretable configuration becomes the best choice.</w:t>
      </w:r>
    </w:p>
    <w:p>
      <w:pPr>
        <w:pStyle w:val="BodyText"/>
        <w:bidi w:val="0"/>
        <w:jc w:val="start"/>
        <w:rPr/>
      </w:pPr>
      <w:r>
        <w:rPr/>
        <w:t>Another important result is the explainability contour itself. For the best configurations, the platform automatically produces results overviews, training-history plots, membership visualizations, top-rule views, hidden-concept contribution views, and sample-level concept-flow exports. This makes RuFLEX useful not only for model execution but also for research communication and article preparation.</w:t>
      </w:r>
    </w:p>
    <w:p>
      <w:pPr>
        <w:pStyle w:val="Heading2"/>
        <w:bidi w:val="0"/>
        <w:ind w:hanging="0" w:start="0"/>
        <w:jc w:val="start"/>
        <w:rPr/>
      </w:pPr>
      <w:r>
        <w:rPr/>
        <w:t>VII. Conclusion</w:t>
      </w:r>
    </w:p>
    <w:p>
      <w:pPr>
        <w:pStyle w:val="BodyText"/>
        <w:bidi w:val="0"/>
        <w:jc w:val="start"/>
        <w:rPr/>
      </w:pPr>
      <w:r>
        <w:rPr/>
        <w:t>RuFLEX is presented as a platform for hybrid deep fuzzy learning that combines interpretable rule-based mechanisms, differentiable fuzzy layers, deep fuzzy feature learning, a Python SDK, a visual workbench, and explainability tooling within one reproducible workflow. Experimental validation on two geo-oriented tasks shows that the platform is suitable for both regression and classification settings, while different architecture regimes may become preferable depending on the task structure. This supports the platform-oriented design choice and provides a foundation for future expansion toward spatial fuzzy modules, stronger logical traceability, and counterfactual explainability.</w:t>
      </w:r>
    </w:p>
    <w:p>
      <w:pPr>
        <w:pStyle w:val="Heading2"/>
        <w:bidi w:val="0"/>
        <w:ind w:hanging="0" w:start="0"/>
        <w:jc w:val="start"/>
        <w:rPr/>
      </w:pPr>
      <w:r>
        <w:rPr/>
        <w:t>Acknowledgment</w:t>
      </w:r>
    </w:p>
    <w:p>
      <w:pPr>
        <w:pStyle w:val="BodyText"/>
        <w:bidi w:val="0"/>
        <w:jc w:val="start"/>
        <w:rPr/>
      </w:pPr>
      <w:r>
        <w:rPr/>
        <w:t>This section can be filled with acknowledgments to scientific supervisors, collaborators, or institutional support if required by the venue.</w:t>
      </w:r>
    </w:p>
    <w:p>
      <w:pPr>
        <w:pStyle w:val="Heading2"/>
        <w:bidi w:val="0"/>
        <w:ind w:hanging="0" w:start="0"/>
        <w:jc w:val="start"/>
        <w:rPr/>
      </w:pPr>
      <w:r>
        <w:rPr/>
        <w:t>References</w:t>
      </w:r>
    </w:p>
    <w:p>
      <w:pPr>
        <w:pStyle w:val="BodyText"/>
        <w:numPr>
          <w:ilvl w:val="0"/>
          <w:numId w:val="4"/>
        </w:numPr>
        <w:tabs>
          <w:tab w:val="clear" w:pos="709"/>
          <w:tab w:val="left" w:pos="709" w:leader="none"/>
        </w:tabs>
        <w:bidi w:val="0"/>
        <w:ind w:hanging="283" w:start="709"/>
        <w:jc w:val="start"/>
        <w:rPr/>
      </w:pPr>
      <w:r>
        <w:rPr/>
        <w:t xml:space="preserve">J.-S. R. Jang, “ANFIS: Adaptive-Network-Based Fuzzy Inference System,” </w:t>
      </w:r>
      <w:r>
        <w:rPr>
          <w:i/>
        </w:rPr>
        <w:t>IEEE Transactions on Systems, Man, and Cybernetics</w:t>
      </w:r>
      <w:r>
        <w:rPr/>
        <w:t>, vol. 23, no. 3, pp. 665-685, 1993.</w:t>
      </w:r>
    </w:p>
    <w:p>
      <w:pPr>
        <w:pStyle w:val="BodyText"/>
        <w:numPr>
          <w:ilvl w:val="0"/>
          <w:numId w:val="4"/>
        </w:numPr>
        <w:tabs>
          <w:tab w:val="clear" w:pos="709"/>
          <w:tab w:val="left" w:pos="709" w:leader="none"/>
        </w:tabs>
        <w:bidi w:val="0"/>
        <w:ind w:hanging="283" w:start="709"/>
        <w:jc w:val="start"/>
        <w:rPr/>
      </w:pPr>
      <w:r>
        <w:rPr/>
        <w:t xml:space="preserve">A. Paszke, S. Gross, F. Massa et al., “PyTorch: An Imperative Style, High-Performance Deep Learning Library,” in </w:t>
      </w:r>
      <w:r>
        <w:rPr>
          <w:i/>
        </w:rPr>
        <w:t>Advances in Neural Information Processing Systems</w:t>
      </w:r>
      <w:r>
        <w:rPr/>
        <w:t>, vol. 32, 2019.</w:t>
      </w:r>
    </w:p>
    <w:p>
      <w:pPr>
        <w:pStyle w:val="BodyText"/>
        <w:numPr>
          <w:ilvl w:val="0"/>
          <w:numId w:val="4"/>
        </w:numPr>
        <w:tabs>
          <w:tab w:val="clear" w:pos="709"/>
          <w:tab w:val="left" w:pos="709" w:leader="none"/>
        </w:tabs>
        <w:bidi w:val="0"/>
        <w:ind w:hanging="283" w:start="709"/>
        <w:jc w:val="start"/>
        <w:rPr/>
      </w:pPr>
      <w:r>
        <w:rPr/>
        <w:t xml:space="preserve">F. Pedregosa, G. Varoquaux, A. Gramfort et al., “Scikit-learn: Machine Learning in Python,” </w:t>
      </w:r>
      <w:r>
        <w:rPr>
          <w:i/>
        </w:rPr>
        <w:t>Journal of Machine Learning Research</w:t>
      </w:r>
      <w:r>
        <w:rPr/>
        <w:t>, vol. 12, pp. 2825-2830, 2011.</w:t>
      </w:r>
    </w:p>
    <w:p>
      <w:pPr>
        <w:pStyle w:val="BodyText"/>
        <w:numPr>
          <w:ilvl w:val="0"/>
          <w:numId w:val="4"/>
        </w:numPr>
        <w:tabs>
          <w:tab w:val="clear" w:pos="709"/>
          <w:tab w:val="left" w:pos="709" w:leader="none"/>
        </w:tabs>
        <w:bidi w:val="0"/>
        <w:ind w:hanging="283" w:start="709"/>
        <w:jc w:val="start"/>
        <w:rPr/>
      </w:pPr>
      <w:r>
        <w:rPr/>
        <w:t xml:space="preserve">R. K. Pace and R. Barry, “Sparse Spatial Autoregressions,” </w:t>
      </w:r>
      <w:r>
        <w:rPr>
          <w:i/>
        </w:rPr>
        <w:t>Statistics &amp; Probability Letters</w:t>
      </w:r>
      <w:r>
        <w:rPr/>
        <w:t>, vol. 33, no. 3, pp. 291-297, 1997.</w:t>
      </w:r>
    </w:p>
    <w:p>
      <w:pPr>
        <w:pStyle w:val="BodyText"/>
        <w:numPr>
          <w:ilvl w:val="0"/>
          <w:numId w:val="4"/>
        </w:numPr>
        <w:tabs>
          <w:tab w:val="clear" w:pos="709"/>
          <w:tab w:val="left" w:pos="709" w:leader="none"/>
        </w:tabs>
        <w:bidi w:val="0"/>
        <w:ind w:hanging="283" w:start="709"/>
        <w:jc w:val="start"/>
        <w:rPr/>
      </w:pPr>
      <w:r>
        <w:rPr/>
        <w:t xml:space="preserve">C. Rudin, “Stop Explaining Black Box Machine Learning Models for High Stakes Decisions and Use Interpretable Models Instead,” </w:t>
      </w:r>
      <w:r>
        <w:rPr>
          <w:i/>
        </w:rPr>
        <w:t>Nature Machine Intelligence</w:t>
      </w:r>
      <w:r>
        <w:rPr/>
        <w:t>, vol. 1, pp. 206-215, 2019.</w:t>
      </w:r>
    </w:p>
    <w:p>
      <w:pPr>
        <w:pStyle w:val="BodyText"/>
        <w:numPr>
          <w:ilvl w:val="0"/>
          <w:numId w:val="4"/>
        </w:numPr>
        <w:tabs>
          <w:tab w:val="clear" w:pos="709"/>
          <w:tab w:val="left" w:pos="709" w:leader="none"/>
        </w:tabs>
        <w:bidi w:val="0"/>
        <w:ind w:hanging="283" w:start="709"/>
        <w:jc w:val="start"/>
        <w:rPr/>
      </w:pPr>
      <w:r>
        <w:rPr/>
        <w:t xml:space="preserve">X. Ma, L. Chen, Z. Deng et al., “Deep Image Feature Learning With Fuzzy Rules,” </w:t>
      </w:r>
      <w:r>
        <w:rPr>
          <w:i/>
        </w:rPr>
        <w:t>IEEE Transactions on Emerging Topics in Computational Intelligence</w:t>
      </w:r>
      <w:r>
        <w:rPr/>
        <w:t>, vol. 8, pp. 724-737, 2024.</w:t>
      </w:r>
    </w:p>
    <w:p>
      <w:pPr>
        <w:pStyle w:val="BodyText"/>
        <w:numPr>
          <w:ilvl w:val="0"/>
          <w:numId w:val="4"/>
        </w:numPr>
        <w:tabs>
          <w:tab w:val="clear" w:pos="709"/>
          <w:tab w:val="left" w:pos="709" w:leader="none"/>
        </w:tabs>
        <w:bidi w:val="0"/>
        <w:ind w:hanging="283" w:start="709"/>
        <w:jc w:val="start"/>
        <w:rPr/>
      </w:pPr>
      <w:r>
        <w:rPr/>
        <w:t xml:space="preserve">Lebedeffson, “deep-neuro-fuzzy,” GitHub repository. Available: </w:t>
      </w:r>
      <w:hyperlink r:id="rId4">
        <w:r>
          <w:rPr>
            <w:rStyle w:val="Hyperlink"/>
          </w:rPr>
          <w:t>https://github.com/lebedeffson/deep-neuro-fuzzy</w:t>
        </w:r>
      </w:hyperlink>
      <w:r>
        <w:rPr/>
        <w:t>. Accessed: Apr. 13, 2026.</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OpenSymbol">
    <w:altName w:val="Arial Unicode MS"/>
    <w:charset w:val="02"/>
    <w:family w:val="auto"/>
    <w:pitch w:val="default"/>
  </w:font>
  <w:font w:name="Noto Sans">
    <w:charset w:val="01" w:characterSet="utf-8"/>
    <w:family w:val="swiss"/>
    <w:pitch w:val="variable"/>
  </w:font>
  <w:font w:name="Noto Sans Mono">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Noto Serif" w:hAnsi="Noto Serif" w:eastAsia="Noto Sans"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Noto Sans" w:hAnsi="Noto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Noto Sans Mono" w:hAnsi="Noto Sans Mono" w:eastAsia="Noto Sans Mono" w:cs="Noto Sans Devanagari"/>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uthor1@example.com" TargetMode="External"/><Relationship Id="rId3" Type="http://schemas.openxmlformats.org/officeDocument/2006/relationships/hyperlink" Target="mailto:author2@example.com" TargetMode="External"/><Relationship Id="rId4" Type="http://schemas.openxmlformats.org/officeDocument/2006/relationships/hyperlink" Target="https://github.com/lebedeffson/deep-neuro-fuzzy"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