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RuFLEX: гибридная платформа глубокого нечеткого обучения для геоданных с интерпретируемым анализом правил, факторов и скрытых концептов</w:t>
      </w:r>
    </w:p>
    <w:p>
      <w:pPr>
        <w:jc w:val="center"/>
      </w:pPr>
      <w:r>
        <w:t>И. О. Автор1, И. О. Автор2</w:t>
      </w:r>
    </w:p>
    <w:p>
      <w:pPr>
        <w:jc w:val="center"/>
      </w:pPr>
      <w:r>
        <w:t>Организация, город, страна</w:t>
      </w:r>
    </w:p>
    <w:p>
      <w:pPr>
        <w:jc w:val="center"/>
      </w:pPr>
      <w:r>
        <w:t>E-mail: author1@example.com, author2@example.com</w:t>
      </w:r>
    </w:p>
    <w:p>
      <w:r>
        <w:rPr>
          <w:b/>
        </w:rPr>
        <w:t>Аннотация</w:t>
      </w:r>
    </w:p>
    <w:p>
      <w:r>
        <w:t>В работе представлена платформа RuFLEX для гибридного глубокого нечеткого обучения, ориентированная на задачи геоаналитики, пространственно обусловленной классификации, прогнозирования и интеллектуальной поддержки принятия решений. В отличие от black-box-подходов, платформа объединяет интерпретируемые rule-based механизмы, дифференцируемые нечеткие слои и архитектуры deep fuzzy feature learning в едином контуре, реализованном на Python и PyTorch. Экспериментальная валидация проведена на двух geo-oriented табличных задачах: California Housing Regression и California Value Binary Geo. На regression-задаче лучший результат показала конфигурация Deep Research, а на binary classification лучшей оказалась конфигурация Flat Interpretable.</w:t>
      </w:r>
    </w:p>
    <w:p>
      <w:r>
        <w:rPr>
          <w:i/>
        </w:rPr>
        <w:t xml:space="preserve">Ключевые слова: </w:t>
      </w:r>
      <w:r>
        <w:t>глубокое нечеткое обучение; hybrid neuro-fuzzy models; deep fuzzy feature learning; explainability; геоаналитика; интерпретируемое машинное обучение</w:t>
      </w:r>
    </w:p>
    <w:p>
      <w:r>
        <w:rPr>
          <w:b/>
        </w:rPr>
        <w:t>1. Введение</w:t>
      </w:r>
    </w:p>
    <w:p>
      <w:r>
        <w:t>RuFLEX позиционируется как платформенный слой для гибридного глубокого нечеткого обучения, а не как одна фиксированная модель. Платформа развивает собственные SDK/UI/explainability-компоненты поверх vendored deep fuzzy backend `ruanfis`, происходящего из репозитория `deep-neuro-fuzzy`. Такое разделение позволяет сохранять преемственность deep fuzzy ядра и одновременно развивать собственный исследовательский и прикладной контур.</w:t>
      </w:r>
    </w:p>
    <w:p>
      <w:r>
        <w:t>Ключевая идея работы состоит в объединении плоских интерпретируемых neuro-fuzzy baseline-конфигураций и режима deep fuzzy feature learning в единой воспроизводимой платформе, которая поддерживает не только обучение и инференс, но и анализ функций принадлежности, правил, скрытых концептов и вклада факторов.</w:t>
      </w:r>
    </w:p>
    <w:p>
      <w:r>
        <w:rPr>
          <w:b/>
        </w:rPr>
        <w:t>2. Архитектура платформы и модельные режимы</w:t>
      </w:r>
    </w:p>
    <w:p>
      <w:r>
        <w:t>Текущая архитектура RuFLEX включает ядро платформы, модельный слой, слой обучения, explainability layer и инструментальный слой. В первой версии реализованы два базовых режима: flat neuro-fuzzy baseline и deep fuzzy feature learning. Первый режим удобен для компактного и интерпретируемого предсказания, второй использует скрытые слои как механизм формирования новых нечетких концептов.</w:t>
      </w:r>
    </w:p>
    <w:p>
      <w:pPr>
        <w:pStyle w:val="ListBullet"/>
      </w:pPr>
      <w:r>
        <w:t>Python SDK и toolbox-style API</w:t>
      </w:r>
    </w:p>
    <w:p>
      <w:pPr>
        <w:pStyle w:val="ListBullet"/>
      </w:pPr>
      <w:r>
        <w:t>visual workbench на базе Streamlit</w:t>
      </w:r>
    </w:p>
    <w:p>
      <w:pPr>
        <w:pStyle w:val="ListBullet"/>
      </w:pPr>
      <w:r>
        <w:t>stage-wise pretraining, refinement и fine-tuning</w:t>
      </w:r>
    </w:p>
    <w:p>
      <w:pPr>
        <w:pStyle w:val="ListBullet"/>
      </w:pPr>
      <w:r>
        <w:t>Explainability Dashboard с анализом membership functions, rules и hidden concepts</w:t>
      </w:r>
    </w:p>
    <w:p>
      <w:pPr>
        <w:pStyle w:val="ListBullet"/>
      </w:pPr>
      <w:r>
        <w:t>reproducible article benchmark pipeline</w:t>
      </w:r>
    </w:p>
    <w:p>
      <w:r>
        <w:rPr>
          <w:b/>
        </w:rPr>
        <w:t>3. Экспериментальная постановка</w:t>
      </w:r>
    </w:p>
    <w:p>
      <w:r>
        <w:t>Для валидации использованы две geo-oriented табличные задачи. Первая задача, California Housing Regression, основана на `sklearn.fetch_california_housing` и использует пространственные признаки `Latitude` и `Longitude`. Вторая задача, California Value Binary Geo, построена на том же наборе данных, но в постановке сбалансированной бинарной классификации по признаку `HighValue`.</w:t>
      </w:r>
    </w:p>
    <w:p>
      <w:r>
        <w:t>Во всех экспериментах сравнивались конфигурации Flat Baseline, Flat Interpretable, Deep Article Demo и Deep Research. Все результаты были получены в воспроизводимом article suite-контуре.</w:t>
      </w:r>
    </w:p>
    <w:p>
      <w:r>
        <w:rPr>
          <w:b/>
        </w:rPr>
        <w:t>4. Результаты</w:t>
      </w:r>
    </w:p>
    <w:p>
      <w:r>
        <w:t>На задаче California Housing Regression лучшей конфигурацией оказалась Deep Research (`test_rmse = 0.795757`, `test_r2 = 0.507159`). На задаче California Value Binary Geo лучшей конфигурацией оказалась Flat Interpretable (`test_accuracy = 0.746341`, `test_f1 = 0.739348`). Тем самым разные режимы RuFLEX оказываются предпочтительными на разных типах задач, что поддерживает именно платформенное позиционирование системы.</w:t>
      </w:r>
    </w:p>
    <w:p>
      <w:pPr>
        <w:jc w:val="center"/>
      </w:pPr>
      <w:r>
        <w:rPr>
          <w:b/>
        </w:rPr>
        <w:t>Таблица 1. Сравнение конфигураций на regression-задаче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Конфигурация</w:t>
            </w:r>
          </w:p>
        </w:tc>
        <w:tc>
          <w:tcPr>
            <w:tcW w:type="dxa" w:w="2160"/>
          </w:tcPr>
          <w:p>
            <w:r>
              <w:t>Test RMSE</w:t>
            </w:r>
          </w:p>
        </w:tc>
        <w:tc>
          <w:tcPr>
            <w:tcW w:type="dxa" w:w="2160"/>
          </w:tcPr>
          <w:p>
            <w:r>
              <w:t>Test MAE</w:t>
            </w:r>
          </w:p>
        </w:tc>
        <w:tc>
          <w:tcPr>
            <w:tcW w:type="dxa" w:w="2160"/>
          </w:tcPr>
          <w:p>
            <w:r>
              <w:t>Test R2</w:t>
            </w:r>
          </w:p>
        </w:tc>
      </w:tr>
      <w:tr>
        <w:tc>
          <w:tcPr>
            <w:tcW w:type="dxa" w:w="2160"/>
          </w:tcPr>
          <w:p>
            <w:r>
              <w:t>Flat Baseline</w:t>
            </w:r>
          </w:p>
        </w:tc>
        <w:tc>
          <w:tcPr>
            <w:tcW w:type="dxa" w:w="2160"/>
          </w:tcPr>
          <w:p>
            <w:r>
              <w:t>0.890950</w:t>
            </w:r>
          </w:p>
        </w:tc>
        <w:tc>
          <w:tcPr>
            <w:tcW w:type="dxa" w:w="2160"/>
          </w:tcPr>
          <w:p>
            <w:r>
              <w:t>0.678868</w:t>
            </w:r>
          </w:p>
        </w:tc>
        <w:tc>
          <w:tcPr>
            <w:tcW w:type="dxa" w:w="2160"/>
          </w:tcPr>
          <w:p>
            <w:r>
              <w:t>0.382192</w:t>
            </w:r>
          </w:p>
        </w:tc>
      </w:tr>
      <w:tr>
        <w:tc>
          <w:tcPr>
            <w:tcW w:type="dxa" w:w="2160"/>
          </w:tcPr>
          <w:p>
            <w:r>
              <w:t>Flat Interpretable</w:t>
            </w:r>
          </w:p>
        </w:tc>
        <w:tc>
          <w:tcPr>
            <w:tcW w:type="dxa" w:w="2160"/>
          </w:tcPr>
          <w:p>
            <w:r>
              <w:t>1.115952</w:t>
            </w:r>
          </w:p>
        </w:tc>
        <w:tc>
          <w:tcPr>
            <w:tcW w:type="dxa" w:w="2160"/>
          </w:tcPr>
          <w:p>
            <w:r>
              <w:t>0.880786</w:t>
            </w:r>
          </w:p>
        </w:tc>
        <w:tc>
          <w:tcPr>
            <w:tcW w:type="dxa" w:w="2160"/>
          </w:tcPr>
          <w:p>
            <w:r>
              <w:t>0.030747</w:t>
            </w:r>
          </w:p>
        </w:tc>
      </w:tr>
      <w:tr>
        <w:tc>
          <w:tcPr>
            <w:tcW w:type="dxa" w:w="2160"/>
          </w:tcPr>
          <w:p>
            <w:r>
              <w:t>Deep Article Demo</w:t>
            </w:r>
          </w:p>
        </w:tc>
        <w:tc>
          <w:tcPr>
            <w:tcW w:type="dxa" w:w="2160"/>
          </w:tcPr>
          <w:p>
            <w:r>
              <w:t>0.816314</w:t>
            </w:r>
          </w:p>
        </w:tc>
        <w:tc>
          <w:tcPr>
            <w:tcW w:type="dxa" w:w="2160"/>
          </w:tcPr>
          <w:p>
            <w:r>
              <w:t>0.610628</w:t>
            </w:r>
          </w:p>
        </w:tc>
        <w:tc>
          <w:tcPr>
            <w:tcW w:type="dxa" w:w="2160"/>
          </w:tcPr>
          <w:p>
            <w:r>
              <w:t>0.481367</w:t>
            </w:r>
          </w:p>
        </w:tc>
      </w:tr>
      <w:tr>
        <w:tc>
          <w:tcPr>
            <w:tcW w:type="dxa" w:w="2160"/>
          </w:tcPr>
          <w:p>
            <w:r>
              <w:t>Deep Research</w:t>
            </w:r>
          </w:p>
        </w:tc>
        <w:tc>
          <w:tcPr>
            <w:tcW w:type="dxa" w:w="2160"/>
          </w:tcPr>
          <w:p>
            <w:r>
              <w:t>0.795757</w:t>
            </w:r>
          </w:p>
        </w:tc>
        <w:tc>
          <w:tcPr>
            <w:tcW w:type="dxa" w:w="2160"/>
          </w:tcPr>
          <w:p>
            <w:r>
              <w:t>0.593770</w:t>
            </w:r>
          </w:p>
        </w:tc>
        <w:tc>
          <w:tcPr>
            <w:tcW w:type="dxa" w:w="2160"/>
          </w:tcPr>
          <w:p>
            <w:r>
              <w:t>0.507159</w:t>
            </w:r>
          </w:p>
        </w:tc>
      </w:tr>
    </w:tbl>
    <w:p/>
    <w:p>
      <w:pPr>
        <w:jc w:val="center"/>
      </w:pPr>
      <w:r>
        <w:rPr>
          <w:b/>
        </w:rPr>
        <w:t>Таблица 2. Сравнение конфигураций на classification-задаче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Конфигурация</w:t>
            </w:r>
          </w:p>
        </w:tc>
        <w:tc>
          <w:tcPr>
            <w:tcW w:type="dxa" w:w="2160"/>
          </w:tcPr>
          <w:p>
            <w:r>
              <w:t>Test Accuracy</w:t>
            </w:r>
          </w:p>
        </w:tc>
        <w:tc>
          <w:tcPr>
            <w:tcW w:type="dxa" w:w="2160"/>
          </w:tcPr>
          <w:p>
            <w:r>
              <w:t>Test Precision</w:t>
            </w:r>
          </w:p>
        </w:tc>
        <w:tc>
          <w:tcPr>
            <w:tcW w:type="dxa" w:w="2160"/>
          </w:tcPr>
          <w:p>
            <w:r>
              <w:t>Test F1</w:t>
            </w:r>
          </w:p>
        </w:tc>
      </w:tr>
      <w:tr>
        <w:tc>
          <w:tcPr>
            <w:tcW w:type="dxa" w:w="2160"/>
          </w:tcPr>
          <w:p>
            <w:r>
              <w:t>Flat Baseline</w:t>
            </w:r>
          </w:p>
        </w:tc>
        <w:tc>
          <w:tcPr>
            <w:tcW w:type="dxa" w:w="2160"/>
          </w:tcPr>
          <w:p>
            <w:r>
              <w:t>0.742683</w:t>
            </w:r>
          </w:p>
        </w:tc>
        <w:tc>
          <w:tcPr>
            <w:tcW w:type="dxa" w:w="2160"/>
          </w:tcPr>
          <w:p>
            <w:r>
              <w:t>0.739899</w:t>
            </w:r>
          </w:p>
        </w:tc>
        <w:tc>
          <w:tcPr>
            <w:tcW w:type="dxa" w:w="2160"/>
          </w:tcPr>
          <w:p>
            <w:r>
              <w:t>0.735257</w:t>
            </w:r>
          </w:p>
        </w:tc>
      </w:tr>
      <w:tr>
        <w:tc>
          <w:tcPr>
            <w:tcW w:type="dxa" w:w="2160"/>
          </w:tcPr>
          <w:p>
            <w:r>
              <w:t>Flat Interpretable</w:t>
            </w:r>
          </w:p>
        </w:tc>
        <w:tc>
          <w:tcPr>
            <w:tcW w:type="dxa" w:w="2160"/>
          </w:tcPr>
          <w:p>
            <w:r>
              <w:t>0.746341</w:t>
            </w:r>
          </w:p>
        </w:tc>
        <w:tc>
          <w:tcPr>
            <w:tcW w:type="dxa" w:w="2160"/>
          </w:tcPr>
          <w:p>
            <w:r>
              <w:t>0.743073</w:t>
            </w:r>
          </w:p>
        </w:tc>
        <w:tc>
          <w:tcPr>
            <w:tcW w:type="dxa" w:w="2160"/>
          </w:tcPr>
          <w:p>
            <w:r>
              <w:t>0.739348</w:t>
            </w:r>
          </w:p>
        </w:tc>
      </w:tr>
      <w:tr>
        <w:tc>
          <w:tcPr>
            <w:tcW w:type="dxa" w:w="2160"/>
          </w:tcPr>
          <w:p>
            <w:r>
              <w:t>Deep Article Demo</w:t>
            </w:r>
          </w:p>
        </w:tc>
        <w:tc>
          <w:tcPr>
            <w:tcW w:type="dxa" w:w="2160"/>
          </w:tcPr>
          <w:p>
            <w:r>
              <w:t>0.739024</w:t>
            </w:r>
          </w:p>
        </w:tc>
        <w:tc>
          <w:tcPr>
            <w:tcW w:type="dxa" w:w="2160"/>
          </w:tcPr>
          <w:p>
            <w:r>
              <w:t>0.724221</w:t>
            </w:r>
          </w:p>
        </w:tc>
        <w:tc>
          <w:tcPr>
            <w:tcW w:type="dxa" w:w="2160"/>
          </w:tcPr>
          <w:p>
            <w:r>
              <w:t>0.738386</w:t>
            </w:r>
          </w:p>
        </w:tc>
      </w:tr>
      <w:tr>
        <w:tc>
          <w:tcPr>
            <w:tcW w:type="dxa" w:w="2160"/>
          </w:tcPr>
          <w:p>
            <w:r>
              <w:t>Deep Research</w:t>
            </w:r>
          </w:p>
        </w:tc>
        <w:tc>
          <w:tcPr>
            <w:tcW w:type="dxa" w:w="2160"/>
          </w:tcPr>
          <w:p>
            <w:r>
              <w:t>0.743902</w:t>
            </w:r>
          </w:p>
        </w:tc>
        <w:tc>
          <w:tcPr>
            <w:tcW w:type="dxa" w:w="2160"/>
          </w:tcPr>
          <w:p>
            <w:r>
              <w:t>0.741772</w:t>
            </w:r>
          </w:p>
        </w:tc>
        <w:tc>
          <w:tcPr>
            <w:tcW w:type="dxa" w:w="2160"/>
          </w:tcPr>
          <w:p>
            <w:r>
              <w:t>0.736181</w:t>
            </w:r>
          </w:p>
        </w:tc>
      </w:tr>
    </w:tbl>
    <w:p/>
    <w:p>
      <w:r>
        <w:rPr>
          <w:b/>
        </w:rPr>
        <w:t>5. Иллюстративные материалы explainability</w:t>
      </w:r>
    </w:p>
    <w:p>
      <w:r>
        <w:drawing>
          <wp:inline xmlns:a="http://schemas.openxmlformats.org/drawingml/2006/main" xmlns:pic="http://schemas.openxmlformats.org/drawingml/2006/picture">
            <wp:extent cx="5486400" cy="2021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regression_bench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1. Сравнение flat и deep fuzzy конфигураций на задаче California Housing Regression.</w:t>
      </w:r>
    </w:p>
    <w:p>
      <w:r>
        <w:drawing>
          <wp:inline xmlns:a="http://schemas.openxmlformats.org/drawingml/2006/main" xmlns:pic="http://schemas.openxmlformats.org/drawingml/2006/picture">
            <wp:extent cx="5486400" cy="3852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regression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2. Explainability board для лучшей regression-конфигурации.</w:t>
      </w:r>
    </w:p>
    <w:p>
      <w:r>
        <w:drawing>
          <wp:inline xmlns:a="http://schemas.openxmlformats.org/drawingml/2006/main" xmlns:pic="http://schemas.openxmlformats.org/drawingml/2006/picture">
            <wp:extent cx="5486400" cy="2021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lassification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3. Сравнение конфигураций RuFLEX на задаче California Value Binary Geo.</w:t>
      </w:r>
    </w:p>
    <w:p>
      <w:r>
        <w:drawing>
          <wp:inline xmlns:a="http://schemas.openxmlformats.org/drawingml/2006/main" xmlns:pic="http://schemas.openxmlformats.org/drawingml/2006/picture">
            <wp:extent cx="5486400" cy="3852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lassification_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4. Explainability board для лучшей classification-конфигурации.</w:t>
      </w:r>
    </w:p>
    <w:p>
      <w:r>
        <w:drawing>
          <wp:inline xmlns:a="http://schemas.openxmlformats.org/drawingml/2006/main" xmlns:pic="http://schemas.openxmlformats.org/drawingml/2006/picture">
            <wp:extent cx="5212080" cy="29605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membership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6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5. Пример функций принадлежности для интерпретируемой фаззификации входного признака.</w:t>
      </w:r>
    </w:p>
    <w:p>
      <w:r>
        <w:rPr>
          <w:b/>
        </w:rPr>
        <w:t>6. Заключение</w:t>
      </w:r>
    </w:p>
    <w:p>
      <w:r>
        <w:t>Разработана платформа RuFLEX для гибридного глубокого нечеткого обучения, объединяющая интерпретируемые rule-based механизмы, дифференцируемые нечеткие слои, deep fuzzy feature learning, SDK, visual workbench и explainability tooling в едином reproducible контуре. Показано, что платформа работает как на regression-, так и на classification-сценариях, а выбор лучшей конфигурации зависит от структуры задачи.</w:t>
      </w:r>
    </w:p>
    <w:p>
      <w:r>
        <w:t>Перспективы дальнейшего развития включают mature spatial/deep fuzzy module, более развитую logical traceability engine, counterfactual explainability и перенос вычислительно тяжелых частей в C++.</w:t>
      </w:r>
    </w:p>
    <w:p>
      <w:r>
        <w:rPr>
          <w:b/>
        </w:rPr>
        <w:t>Благодарность</w:t>
      </w:r>
    </w:p>
    <w:p>
      <w:r>
        <w:t>При необходимости здесь указывается благодарность научному руководителю, коллегам или консультантам.</w:t>
      </w:r>
    </w:p>
    <w:p>
      <w:r>
        <w:rPr>
          <w:b/>
        </w:rPr>
        <w:t>Финансирование</w:t>
      </w:r>
    </w:p>
    <w:p>
      <w:r>
        <w:t>При наличии финансирования здесь указывается формулировка на русском языке.</w:t>
      </w:r>
    </w:p>
    <w:p>
      <w:r>
        <w:rPr>
          <w:b/>
        </w:rPr>
        <w:t>Список литературы</w:t>
      </w:r>
    </w:p>
    <w:p>
      <w:pPr>
        <w:pStyle w:val="ListNumber"/>
      </w:pPr>
      <w:r>
        <w:t>Jang J.-S. R. ANFIS: Adaptive-Network-Based Fuzzy Inference System // IEEE Transactions on Systems, Man, and Cybernetics. 1993. Vol. 23, no. 3. P. 665-685.</w:t>
      </w:r>
    </w:p>
    <w:p>
      <w:pPr>
        <w:pStyle w:val="ListNumber"/>
      </w:pPr>
      <w:r>
        <w:t>Paszke A., Gross S., Massa F. et al. PyTorch: An Imperative Style, High-Performance Deep Learning Library // Advances in Neural Information Processing Systems. 2019. Vol. 32.</w:t>
      </w:r>
    </w:p>
    <w:p>
      <w:pPr>
        <w:pStyle w:val="ListNumber"/>
      </w:pPr>
      <w:r>
        <w:t>Pedregosa F., Varoquaux G., Gramfort A. et al. Scikit-learn: Machine Learning in Python // Journal of Machine Learning Research. 2011. Vol. 12. P. 2825-2830.</w:t>
      </w:r>
    </w:p>
    <w:p>
      <w:pPr>
        <w:pStyle w:val="ListNumber"/>
      </w:pPr>
      <w:r>
        <w:t>Pace R. K., Barry R. Sparse Spatial Autoregressions // Statistics &amp; Probability Letters. 1997. Vol. 33, no. 3. P. 291-297.</w:t>
      </w:r>
    </w:p>
    <w:p>
      <w:pPr>
        <w:pStyle w:val="ListNumber"/>
      </w:pPr>
      <w:r>
        <w:t>Rudin C. Stop Explaining Black Box Machine Learning Models for High Stakes Decisions and Use Interpretable Models Instead // Nature Machine Intelligence. 2019. Vol. 1. P. 206-215.</w:t>
      </w:r>
    </w:p>
    <w:p>
      <w:pPr>
        <w:pStyle w:val="ListNumber"/>
      </w:pPr>
      <w:r>
        <w:t>Ma X., Chen L., Deng Z. et al. Deep Image Feature Learning With Fuzzy Rules // IEEE Transactions on Emerging Topics in Computational Intelligence. 2024. Vol. 8. P. 724-737.</w:t>
      </w:r>
    </w:p>
    <w:p>
      <w:pPr>
        <w:pStyle w:val="ListNumber"/>
      </w:pPr>
      <w:r>
        <w:t>Lebedeffson. deep-neuro-fuzzy [Электронный ресурс]. URL: https://github.com/lebedeffson/deep-neuro-fuzzy (дата обращения: 13.04.2026).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