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RuFLEX: гибридная платформа глубокого нечеткого обучения для геоданных с интерпретируемым анализом правил, факторов и скрытых концептов</w:t>
      </w:r>
    </w:p>
    <w:p>
      <w:pPr>
        <w:pStyle w:val="BodyText"/>
        <w:bidi w:val="0"/>
        <w:jc w:val="start"/>
        <w:rPr/>
      </w:pPr>
      <w:r>
        <w:rPr/>
        <w:t>И. О. Автор1, И. О. Автор2</w:t>
      </w:r>
    </w:p>
    <w:p>
      <w:pPr>
        <w:pStyle w:val="BodyText"/>
        <w:bidi w:val="0"/>
        <w:jc w:val="start"/>
        <w:rPr/>
      </w:pPr>
      <w:r>
        <w:rPr/>
        <w:t>1 Организация, город, страна</w:t>
        <w:br/>
        <w:t xml:space="preserve">E-mail: </w:t>
      </w:r>
      <w:hyperlink r:id="rId2">
        <w:r>
          <w:rPr>
            <w:rStyle w:val="Hyperlink"/>
          </w:rPr>
          <w:t>author1@example.com</w:t>
        </w:r>
      </w:hyperlink>
      <w:r>
        <w:rPr/>
        <w:t xml:space="preserve">, </w:t>
      </w:r>
      <w:hyperlink r:id="rId3">
        <w:r>
          <w:rPr>
            <w:rStyle w:val="Hyperlink"/>
          </w:rPr>
          <w:t>author2@example.com</w:t>
        </w:r>
      </w:hyperlink>
      <w:r>
        <w:rPr/>
        <w:t> ORCID: 0000-0000-0000-0000, 0000-0000-0000-0000</w:t>
      </w:r>
    </w:p>
    <w:p>
      <w:pPr>
        <w:pStyle w:val="BodyText"/>
        <w:bidi w:val="0"/>
        <w:jc w:val="start"/>
        <w:rPr/>
      </w:pPr>
      <w:r>
        <w:rPr/>
        <w:t>Аннотация. В работе представлена платформа RuFLEX для гибридного глубокого нечеткого обучения, ориентированная на задачи геоаналитики, пространственно обусловленной классификации, прогнозирования и интеллектуальной поддержки принятия решений. В отличие от black-box-подходов, RuFLEX объединяет интерпретируемые rule-based механизмы, дифференцируемые нечеткие слои и архитектуры deep fuzzy feature learning в едином контуре, реализованном на Python и PyTorch. Платформа поддерживает задание переменных, лингвистических термов, функций принадлежности и правил, обучение параметров функций принадлежности, локальных rule bases и скрытых представлений, а также сравнение плоских neuro-fuzzy baseline-моделей и глубоких нечетких конфигураций. Программное ядро реализовано в виде Python SDK и toolbox-style API, а пользовательский контур включает веб-интерфейс визуального проектирования, средства воспроизводимых экспериментов и Explainability Dashboard для анализа фаззификации, активированных правил, скрытых концептов и вклада факторов в итоговое решение. Архитектура платформы допускает дальнейшее расширение в сторону пространственных fuzzy-модулей, углубленной логической прослеживаемости и контрфактуального анализа.</w:t>
      </w:r>
    </w:p>
    <w:p>
      <w:pPr>
        <w:pStyle w:val="BodyText"/>
        <w:bidi w:val="0"/>
        <w:jc w:val="start"/>
        <w:rPr/>
      </w:pPr>
      <w:r>
        <w:rPr/>
        <w:t>Ключевые слова: глубокое нечеткое обучение; hybrid neuro-fuzzy models; deep fuzzy feature learning; explainability; геоаналитика; интерпретируемое машинное обучение</w:t>
      </w:r>
    </w:p>
    <w:p>
      <w:pPr>
        <w:pStyle w:val="Heading2"/>
        <w:bidi w:val="0"/>
        <w:ind w:hanging="0" w:start="0"/>
        <w:jc w:val="start"/>
        <w:rPr/>
      </w:pPr>
      <w:r>
        <w:rPr/>
        <w:t>I. Введение</w:t>
      </w:r>
    </w:p>
    <w:p>
      <w:pPr>
        <w:pStyle w:val="BodyText"/>
        <w:bidi w:val="0"/>
        <w:jc w:val="start"/>
        <w:rPr/>
      </w:pPr>
      <w:r>
        <w:rPr/>
        <w:t>Во многих задачах геоаналитики, пространственно обусловленной классификации, прогнозирования и интеллектуальной поддержки принятия решений требуется одновременно обеспечить высокую прогностическую точность и интерпретируемость модели. На практике это приводит к противоречию между black-box архитектурами, способными обеспечивать сильное качество прогноза, и rule-based подходами, которые дают более прозрачный и экспертно верифицируемый вывод. Одним из перспективных направлений преодоления этого противоречия являются гибридные neuro-fuzzy методы [1], сочетающие свойства нечеткого вывода и обучаемых параметрических представлений.</w:t>
      </w:r>
    </w:p>
    <w:p>
      <w:pPr>
        <w:pStyle w:val="BodyText"/>
        <w:bidi w:val="0"/>
        <w:jc w:val="start"/>
        <w:rPr/>
      </w:pPr>
      <w:r>
        <w:rPr/>
        <w:t xml:space="preserve">В данной работе представлена платформа RuFLEX, ориентированная не на одну конкретную модель, а на расширяемый класс гибридных deep fuzzy архитектур. Платформа строится поверх deep fuzzy backend, развиваемого в репозитории </w:t>
      </w:r>
      <w:r>
        <w:rPr>
          <w:rFonts w:ascii="Noto Sans Mono" w:hAnsi="Noto Sans Mono"/>
        </w:rPr>
        <w:t>deep-neuro-fuzzy</w:t>
      </w:r>
      <w:r>
        <w:rPr/>
        <w:t xml:space="preserve"> [7], и дополняет его собственным платформенным слоем: SDK, визуальным workbench, explainability-контуром и воспроизводимыми сценариями экспериментов. Такой подход позволяет не замыкаться на одном частном прототипе модели и использовать единое программное окружение для сравнения различных режимов нечеткого обучения.</w:t>
      </w:r>
    </w:p>
    <w:p>
      <w:pPr>
        <w:pStyle w:val="BodyText"/>
        <w:bidi w:val="0"/>
        <w:jc w:val="start"/>
        <w:rPr/>
      </w:pPr>
      <w:r>
        <w:rPr/>
        <w:t>Целью работы является разработка расширяемой программной платформы для построения, обучения, анализа и интерпретации гибридных моделей глубокого нечеткого обучения, а также демонстрация ее прикладной работоспособности на geo-oriented табличных задачах.</w:t>
      </w:r>
    </w:p>
    <w:p>
      <w:pPr>
        <w:pStyle w:val="Heading2"/>
        <w:bidi w:val="0"/>
        <w:ind w:hanging="0" w:start="0"/>
        <w:jc w:val="start"/>
        <w:rPr/>
      </w:pPr>
      <w:r>
        <w:rPr/>
        <w:t>II. Обзор литературы и постановка задачи</w:t>
      </w:r>
    </w:p>
    <w:p>
      <w:pPr>
        <w:pStyle w:val="BodyText"/>
        <w:bidi w:val="0"/>
        <w:jc w:val="start"/>
        <w:rPr/>
      </w:pPr>
      <w:r>
        <w:rPr/>
        <w:t>Классическим ориентиром для интерпретируемых neuro-fuzzy систем является ANFIS [1], показавший, что параметры функций принадлежности и правил могут обучаться в рамках адаптивной сети. В дальнейшем развитие глубинных и гибридных нейро-нечетких архитектур привело к появлению подходов, в которых нечеткие слои и rule-based блоки используются не только как финальный предиктор, но и как механизм формирования внутренних представлений признаков. Для машинного обучения высокого уровня важна также сама вычислительная среда, обеспечивающая end-to-end обучение, удобство экспериментирования и расширяемость. В настоящей работе в качестве базового стека используется PyTorch [2], а табличные базовые операции и подготовка данных опираются на инструменты экосистемы scikit-learn [3].</w:t>
      </w:r>
    </w:p>
    <w:p>
      <w:pPr>
        <w:pStyle w:val="BodyText"/>
        <w:bidi w:val="0"/>
        <w:jc w:val="start"/>
        <w:rPr/>
      </w:pPr>
      <w:r>
        <w:rPr/>
        <w:t>С прикладной точки зрения особое значение имеют модели, которые не просто дают прогноз, но и допускают анализ правил, факторов и скрытых концептов. В контексте high-stakes решений это соответствует общей линии на отказ от непрозрачных black-box решений в пользу интерпретируемых моделей [5]. Одновременно современные fuzzy-подходы показывают, что глубинное построение признаков может сочетаться с rule-based структурой [6].</w:t>
      </w:r>
    </w:p>
    <w:p>
      <w:pPr>
        <w:pStyle w:val="BodyText"/>
        <w:bidi w:val="0"/>
        <w:jc w:val="start"/>
        <w:rPr/>
      </w:pPr>
      <w:r>
        <w:rPr/>
        <w:t>В рамках данной работы решается задача создания платформы, которая: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поддерживает как плоские, так и более глубокие fuzzy-конфигурации;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позволяет задавать переменные, лингвистические термы, функции принадлежности и правила;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обеспечивает дифференцируемое обучение и воспроизводимые эксперименты;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предоставляет explainability не только по итоговой метрике, но и на уровне фаззификации, правил и hidden concepts.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III. Архитектура платформы RuFLEX</w:t>
      </w:r>
    </w:p>
    <w:p>
      <w:pPr>
        <w:pStyle w:val="BodyText"/>
        <w:bidi w:val="0"/>
        <w:jc w:val="start"/>
        <w:rPr/>
      </w:pPr>
      <w:r>
        <w:rPr/>
        <w:t xml:space="preserve">RuFLEX реализована как платформенный слой поверх vendored deep fuzzy backend </w:t>
      </w:r>
      <w:r>
        <w:rPr>
          <w:rFonts w:ascii="Noto Sans Mono" w:hAnsi="Noto Sans Mono"/>
        </w:rPr>
        <w:t>ruanfis</w:t>
      </w:r>
      <w:r>
        <w:rPr/>
        <w:t xml:space="preserve">, происходящего из репозитория </w:t>
      </w:r>
      <w:r>
        <w:rPr>
          <w:rFonts w:ascii="Noto Sans Mono" w:hAnsi="Noto Sans Mono"/>
        </w:rPr>
        <w:t>deep-neuro-fuzzy</w:t>
      </w:r>
      <w:r>
        <w:rPr/>
        <w:t xml:space="preserve"> [7]. Важной особенностью реализации является разделение ответственности между backend и платформой. Backend отвечает за deep fuzzy модельный контур, вычисление активаций, rule-based слои и обучение, а платформа RuFLEX развивает собственные сущности проекта, сериализацию, пользовательский интерфейс, visual workbench, experiment management и explainability tooling.</w:t>
      </w:r>
    </w:p>
    <w:p>
      <w:pPr>
        <w:pStyle w:val="BodyText"/>
        <w:bidi w:val="0"/>
        <w:jc w:val="start"/>
        <w:rPr/>
      </w:pPr>
      <w:r>
        <w:rPr/>
        <w:t>Текущая архитектура включает несколько уровней: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ядро платформы: переменные, термы, membership functions, rules, rule bases и model specs;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модельный слой: flat neuro-fuzzy baseline и deep fuzzy feature learning;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слой обучения: bootstrap initialization, stage-wise pretraining, refinement и end-to-end fine-tuning;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explainability layer: dashboard payloads, rule records, concept flow и rule chain flow;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инструментальный слой: Python SDK, toolbox-style API, Streamlit workbench и reproducible study pipelines.</w:t>
      </w:r>
    </w:p>
    <w:p>
      <w:pPr>
        <w:pStyle w:val="BodyText"/>
        <w:bidi w:val="0"/>
        <w:jc w:val="start"/>
        <w:rPr/>
      </w:pPr>
      <w:r>
        <w:rPr/>
        <w:t>Такое построение делает RuFLEX именно платформой, а не одной “зафиксированной” архитектурой. На разных задачах можно сравнивать различные конфигурации и выбирать не только по качеству, но и по интерпретируемости.</w:t>
      </w:r>
    </w:p>
    <w:p>
      <w:pPr>
        <w:pStyle w:val="Heading2"/>
        <w:bidi w:val="0"/>
        <w:ind w:hanging="0" w:start="0"/>
        <w:jc w:val="start"/>
        <w:rPr/>
      </w:pPr>
      <w:r>
        <w:rPr/>
        <w:t>IV. Модельные режимы, обучение и explainability</w:t>
      </w:r>
    </w:p>
    <w:p>
      <w:pPr>
        <w:pStyle w:val="BodyText"/>
        <w:bidi w:val="0"/>
        <w:jc w:val="start"/>
        <w:rPr/>
      </w:pPr>
      <w:r>
        <w:rPr/>
        <w:t>В первой версии платформы реализованы два базовых модельных режима.</w:t>
      </w:r>
    </w:p>
    <w:p>
      <w:pPr>
        <w:pStyle w:val="BodyText"/>
        <w:bidi w:val="0"/>
        <w:jc w:val="start"/>
        <w:rPr/>
      </w:pPr>
      <w:r>
        <w:rPr/>
        <w:t>Первый режим представляет собой flat neuro-fuzzy baseline. Он используется как интерпретируемая отправная точка для настройки фаззификации, визуализации membership functions и анализа локальных правил. Структурная компактность такого режима делает его особенно полезным для explainability и для задач, где требуется минимизировать сложность модели.</w:t>
      </w:r>
    </w:p>
    <w:p>
      <w:pPr>
        <w:pStyle w:val="BodyText"/>
        <w:bidi w:val="0"/>
        <w:jc w:val="start"/>
        <w:rPr/>
      </w:pPr>
      <w:r>
        <w:rPr/>
        <w:t>Второй режим соответствует deep fuzzy feature learning. В этой конфигурации скрытые слои рассматриваются как механизм формирования новых интерпретируемых нечетких концептов. Локальные блоки ограничивают рост числа правил, а финальный decision layer работает уже в пространстве hidden concepts. Такой подход позволяет увеличить выразительность модели, сохраняя семантически интерпретируемый вывод.</w:t>
      </w:r>
    </w:p>
    <w:p>
      <w:pPr>
        <w:pStyle w:val="BodyText"/>
        <w:bidi w:val="0"/>
        <w:jc w:val="start"/>
        <w:rPr/>
      </w:pPr>
      <w:r>
        <w:rPr/>
        <w:t>Обучение поддерживает bootstrap initialization, stage-wise pretraining, refinement cycles и end-to-end fine-tuning. Пользователь может запускать обучение через SDK, toolbox-style API или через визуальный workbench. Помимо самих моделей, RuFLEX предоставляет explainability-контур, включающий: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графики membership functions;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rule activation и normalized rule weights;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вклад правил в hidden concepts;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вклад hidden concepts в финальный ответ;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sample-level concept flow и rule chain flow;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project/model reports и экспорт rule records.</w:t>
      </w:r>
    </w:p>
    <w:p>
      <w:pPr>
        <w:pStyle w:val="BodyText"/>
        <w:bidi w:val="0"/>
        <w:jc w:val="start"/>
        <w:rPr/>
      </w:pPr>
      <w:r>
        <w:rPr/>
        <w:t>Тем самым explainability в платформе является не внешней надстройкой, а встроенной частью модельного контура.</w:t>
      </w:r>
    </w:p>
    <w:p>
      <w:pPr>
        <w:pStyle w:val="Heading2"/>
        <w:bidi w:val="0"/>
        <w:ind w:hanging="0" w:start="0"/>
        <w:jc w:val="start"/>
        <w:rPr/>
      </w:pPr>
      <w:r>
        <w:rPr/>
        <w:t>V. Экспериментальная постановка</w:t>
      </w:r>
    </w:p>
    <w:p>
      <w:pPr>
        <w:pStyle w:val="BodyText"/>
        <w:bidi w:val="0"/>
        <w:jc w:val="start"/>
        <w:rPr/>
      </w:pPr>
      <w:r>
        <w:rPr/>
        <w:t xml:space="preserve">Для прикладной валидации использованы две geo-oriented табличные задачи. Первая задача, California Housing Regression, построена на наборе </w:t>
      </w:r>
      <w:r>
        <w:rPr>
          <w:rFonts w:ascii="Noto Sans Mono" w:hAnsi="Noto Sans Mono"/>
        </w:rPr>
        <w:t>sklearn.fetch_california_housing</w:t>
      </w:r>
      <w:r>
        <w:rPr/>
        <w:t xml:space="preserve"> [3, 4] с сохранением пространственных признаков </w:t>
      </w:r>
      <w:r>
        <w:rPr>
          <w:rFonts w:ascii="Noto Sans Mono" w:hAnsi="Noto Sans Mono"/>
        </w:rPr>
        <w:t>Latitude</w:t>
      </w:r>
      <w:r>
        <w:rPr/>
        <w:t xml:space="preserve"> и </w:t>
      </w:r>
      <w:r>
        <w:rPr>
          <w:rFonts w:ascii="Noto Sans Mono" w:hAnsi="Noto Sans Mono"/>
        </w:rPr>
        <w:t>Longitude</w:t>
      </w:r>
      <w:r>
        <w:rPr/>
        <w:t xml:space="preserve">. Из исходного набора сформирована подвыборка объема 4096 наблюдений, а целевой переменной выступает </w:t>
      </w:r>
      <w:r>
        <w:rPr>
          <w:rFonts w:ascii="Noto Sans Mono" w:hAnsi="Noto Sans Mono"/>
        </w:rPr>
        <w:t>MedHouseVal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Вторая задача, California Value Binary Geo, построена на том же источнике, но в постановке бинарной классификации. Целевая переменная </w:t>
      </w:r>
      <w:r>
        <w:rPr>
          <w:rFonts w:ascii="Noto Sans Mono" w:hAnsi="Noto Sans Mono"/>
        </w:rPr>
        <w:t>HighValue</w:t>
      </w:r>
      <w:r>
        <w:rPr/>
        <w:t xml:space="preserve"> формируется по медиане </w:t>
      </w:r>
      <w:r>
        <w:rPr>
          <w:rFonts w:ascii="Noto Sans Mono" w:hAnsi="Noto Sans Mono"/>
        </w:rPr>
        <w:t>MedHouseVal</w:t>
      </w:r>
      <w:r>
        <w:rPr/>
        <w:t>, а итоговый набор представляет собой сбалансированную подвыборку из 4096 объектов. Такая постановка удобна тем, что сохраняет геопризнаки и предметную интерпретируемость, но позволяет проверить платформу уже на classification-сценарии.</w:t>
      </w:r>
    </w:p>
    <w:p>
      <w:pPr>
        <w:pStyle w:val="BodyText"/>
        <w:bidi w:val="0"/>
        <w:jc w:val="start"/>
        <w:rPr/>
      </w:pPr>
      <w:r>
        <w:rPr/>
        <w:t>Для обеих задач сравнивались четыре конфигурации: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Flat Baseline;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Flat Interpretable;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Deep Article Demo;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Deep Research.</w:t>
      </w:r>
    </w:p>
    <w:p>
      <w:pPr>
        <w:pStyle w:val="BodyText"/>
        <w:bidi w:val="0"/>
        <w:jc w:val="start"/>
        <w:rPr/>
      </w:pPr>
      <w:r>
        <w:rPr/>
        <w:t>Все эксперименты были проведены в воспроизводимом контуре article suite, который автоматически сохраняет benchmark runs, article assets, figures, tables и текстовые reports.</w:t>
      </w:r>
    </w:p>
    <w:p>
      <w:pPr>
        <w:pStyle w:val="Heading2"/>
        <w:bidi w:val="0"/>
        <w:ind w:hanging="0" w:start="0"/>
        <w:jc w:val="start"/>
        <w:rPr/>
      </w:pPr>
      <w:r>
        <w:rPr/>
        <w:t>VI. Результаты и обсуждение</w:t>
      </w:r>
    </w:p>
    <w:p>
      <w:pPr>
        <w:pStyle w:val="BodyText"/>
        <w:bidi w:val="0"/>
        <w:jc w:val="start"/>
        <w:rPr/>
      </w:pPr>
      <w:r>
        <w:rPr/>
        <w:t xml:space="preserve">На задаче California Housing Regression лучшей оказалась конфигурация </w:t>
      </w:r>
      <w:r>
        <w:rPr>
          <w:rFonts w:ascii="Noto Sans Mono" w:hAnsi="Noto Sans Mono"/>
        </w:rPr>
        <w:t>Deep Research</w:t>
      </w:r>
      <w:r>
        <w:rPr/>
        <w:t xml:space="preserve">, показавшая </w:t>
      </w:r>
      <w:r>
        <w:rPr>
          <w:rFonts w:ascii="Noto Sans Mono" w:hAnsi="Noto Sans Mono"/>
        </w:rPr>
        <w:t>test_rmse = 0.795757</w:t>
      </w:r>
      <w:r>
        <w:rPr/>
        <w:t xml:space="preserve">, </w:t>
      </w:r>
      <w:r>
        <w:rPr>
          <w:rFonts w:ascii="Noto Sans Mono" w:hAnsi="Noto Sans Mono"/>
        </w:rPr>
        <w:t>test_mae = 0.593770</w:t>
      </w:r>
      <w:r>
        <w:rPr/>
        <w:t xml:space="preserve"> и </w:t>
      </w:r>
      <w:r>
        <w:rPr>
          <w:rFonts w:ascii="Noto Sans Mono" w:hAnsi="Noto Sans Mono"/>
        </w:rPr>
        <w:t>test_r2 = 0.507159</w:t>
      </w:r>
      <w:r>
        <w:rPr/>
        <w:t xml:space="preserve">. Для сравнения, </w:t>
      </w:r>
      <w:r>
        <w:rPr>
          <w:rFonts w:ascii="Noto Sans Mono" w:hAnsi="Noto Sans Mono"/>
        </w:rPr>
        <w:t>Flat Baseline</w:t>
      </w:r>
      <w:r>
        <w:rPr/>
        <w:t xml:space="preserve"> дал </w:t>
      </w:r>
      <w:r>
        <w:rPr>
          <w:rFonts w:ascii="Noto Sans Mono" w:hAnsi="Noto Sans Mono"/>
        </w:rPr>
        <w:t>test_rmse = 0.890950</w:t>
      </w:r>
      <w:r>
        <w:rPr/>
        <w:t xml:space="preserve"> и </w:t>
      </w:r>
      <w:r>
        <w:rPr>
          <w:rFonts w:ascii="Noto Sans Mono" w:hAnsi="Noto Sans Mono"/>
        </w:rPr>
        <w:t>test_r2 = 0.382192</w:t>
      </w:r>
      <w:r>
        <w:rPr/>
        <w:t>. Следовательно, в regression-сценарии deep fuzzy feature learning в рамках RuFLEX действительно обеспечивает измеримый выигрыш по качеству по сравнению с плоским baseline.</w:t>
      </w:r>
    </w:p>
    <w:p>
      <w:pPr>
        <w:pStyle w:val="BodyText"/>
        <w:bidi w:val="0"/>
        <w:jc w:val="start"/>
        <w:rPr/>
      </w:pPr>
      <w:r>
        <w:rPr/>
        <w:t xml:space="preserve">На задаче California Value Binary Geo лучший результат показала конфигурация </w:t>
      </w:r>
      <w:r>
        <w:rPr>
          <w:rFonts w:ascii="Noto Sans Mono" w:hAnsi="Noto Sans Mono"/>
        </w:rPr>
        <w:t>Flat Interpretable</w:t>
      </w:r>
      <w:r>
        <w:rPr/>
        <w:t xml:space="preserve">: </w:t>
      </w:r>
      <w:r>
        <w:rPr>
          <w:rFonts w:ascii="Noto Sans Mono" w:hAnsi="Noto Sans Mono"/>
        </w:rPr>
        <w:t>test_accuracy = 0.746341</w:t>
      </w:r>
      <w:r>
        <w:rPr/>
        <w:t xml:space="preserve">, </w:t>
      </w:r>
      <w:r>
        <w:rPr>
          <w:rFonts w:ascii="Noto Sans Mono" w:hAnsi="Noto Sans Mono"/>
        </w:rPr>
        <w:t>test_precision = 0.743073</w:t>
      </w:r>
      <w:r>
        <w:rPr/>
        <w:t xml:space="preserve">, </w:t>
      </w:r>
      <w:r>
        <w:rPr>
          <w:rFonts w:ascii="Noto Sans Mono" w:hAnsi="Noto Sans Mono"/>
        </w:rPr>
        <w:t>test_recall = 0.735661</w:t>
      </w:r>
      <w:r>
        <w:rPr/>
        <w:t xml:space="preserve">, </w:t>
      </w:r>
      <w:r>
        <w:rPr>
          <w:rFonts w:ascii="Noto Sans Mono" w:hAnsi="Noto Sans Mono"/>
        </w:rPr>
        <w:t>test_f1 = 0.739348</w:t>
      </w:r>
      <w:r>
        <w:rPr/>
        <w:t>. Это наблюдение важно методологически. Платформа не навязывает одну “всегда лучшую” архитектуру. В зависимости от задачи лучшей может оказаться либо более глубокая fuzzy-конфигурация, либо более компактная и интерпретируемая baseline-модель.</w:t>
      </w:r>
    </w:p>
    <w:p>
      <w:pPr>
        <w:pStyle w:val="BodyText"/>
        <w:bidi w:val="0"/>
        <w:jc w:val="start"/>
        <w:rPr/>
      </w:pPr>
      <w:r>
        <w:rPr/>
        <w:t>Дополнительным результатом является сам explainability-контур. Для лучших конфигураций автоматически доступны: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Noto Sans Mono" w:hAnsi="Noto Sans Mono"/>
        </w:rPr>
        <w:t>results_overview</w:t>
      </w:r>
      <w:r>
        <w:rPr/>
        <w:t>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Noto Sans Mono" w:hAnsi="Noto Sans Mono"/>
        </w:rPr>
        <w:t>best_training_history</w:t>
      </w:r>
      <w:r>
        <w:rPr/>
        <w:t>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визуализации функций принадлежности;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Noto Sans Mono" w:hAnsi="Noto Sans Mono"/>
        </w:rPr>
        <w:t>best_sample_top_rules</w:t>
      </w:r>
      <w:r>
        <w:rPr/>
        <w:t>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Noto Sans Mono" w:hAnsi="Noto Sans Mono"/>
        </w:rPr>
        <w:t>best_sample_hidden_concepts</w:t>
      </w:r>
      <w:r>
        <w:rPr/>
        <w:t>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Noto Sans Mono" w:hAnsi="Noto Sans Mono"/>
        </w:rPr>
        <w:t>best_sample_decision_concepts</w:t>
      </w:r>
      <w:r>
        <w:rPr/>
        <w:t>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Noto Sans Mono" w:hAnsi="Noto Sans Mono"/>
        </w:rPr>
        <w:t>concept_flow</w:t>
      </w:r>
      <w:r>
        <w:rPr/>
        <w:t xml:space="preserve"> и </w:t>
      </w:r>
      <w:r>
        <w:rPr>
          <w:rFonts w:ascii="Noto Sans Mono" w:hAnsi="Noto Sans Mono"/>
        </w:rPr>
        <w:t>rule_chain</w:t>
      </w:r>
      <w:r>
        <w:rPr/>
        <w:t xml:space="preserve"> для отдельных объектов.</w:t>
      </w:r>
    </w:p>
    <w:p>
      <w:pPr>
        <w:pStyle w:val="BodyText"/>
        <w:bidi w:val="0"/>
        <w:jc w:val="start"/>
        <w:rPr/>
      </w:pPr>
      <w:r>
        <w:rPr/>
        <w:t>Таким образом, RuFLEX дает не только итоговые метрики, но и исследовательский материал для содержательного анализа модели на уровне факторов, правил и скрытых концептов.</w:t>
      </w:r>
    </w:p>
    <w:p>
      <w:pPr>
        <w:pStyle w:val="Heading2"/>
        <w:bidi w:val="0"/>
        <w:ind w:hanging="0" w:start="0"/>
        <w:jc w:val="start"/>
        <w:rPr/>
      </w:pPr>
      <w:r>
        <w:rPr/>
        <w:t>VII. Заключение</w:t>
      </w:r>
    </w:p>
    <w:p>
      <w:pPr>
        <w:pStyle w:val="BodyText"/>
        <w:bidi w:val="0"/>
        <w:jc w:val="start"/>
        <w:rPr/>
      </w:pPr>
      <w:r>
        <w:rPr/>
        <w:t>Разработана платформа RuFLEX для гибридного глубокого нечеткого обучения, объединяющая интерпретируемые rule-based механизмы, дифференцируемые нечеткие слои, deep fuzzy feature learning, Python SDK, visual workbench и explainability tooling в едином reproducible контуре. Экспериментальная валидация на двух geo-oriented задачах показывает, что платформа пригодна как для regression, так и для classification сценариев, при этом разные архитектурные режимы могут становиться предпочтительными в зависимости от структуры прикладной задачи.</w:t>
      </w:r>
    </w:p>
    <w:p>
      <w:pPr>
        <w:pStyle w:val="BodyText"/>
        <w:bidi w:val="0"/>
        <w:jc w:val="start"/>
        <w:rPr/>
      </w:pPr>
      <w:r>
        <w:rPr/>
        <w:t>Перспективами дальнейшего развития являются зрелый spatial/deep fuzzy модуль, более глубокая logical traceability engine, counterfactual explainability и перенос вычислительно тяжелых частей в C++.</w:t>
      </w:r>
    </w:p>
    <w:p>
      <w:pPr>
        <w:pStyle w:val="Heading2"/>
        <w:bidi w:val="0"/>
        <w:ind w:hanging="0" w:start="0"/>
        <w:jc w:val="start"/>
        <w:rPr/>
      </w:pPr>
      <w:r>
        <w:rPr/>
        <w:t>Благодарность</w:t>
      </w:r>
    </w:p>
    <w:p>
      <w:pPr>
        <w:pStyle w:val="BodyText"/>
        <w:bidi w:val="0"/>
        <w:jc w:val="start"/>
        <w:rPr/>
      </w:pPr>
      <w:r>
        <w:rPr/>
        <w:t>При необходимости здесь указывается благодарность научному руководителю, коллегам или консультантам.</w:t>
      </w:r>
    </w:p>
    <w:p>
      <w:pPr>
        <w:pStyle w:val="Heading2"/>
        <w:bidi w:val="0"/>
        <w:ind w:hanging="0" w:start="0"/>
        <w:jc w:val="start"/>
        <w:rPr/>
      </w:pPr>
      <w:r>
        <w:rPr/>
        <w:t>Финансирование</w:t>
      </w:r>
    </w:p>
    <w:p>
      <w:pPr>
        <w:pStyle w:val="BodyText"/>
        <w:bidi w:val="0"/>
        <w:jc w:val="start"/>
        <w:rPr/>
      </w:pPr>
      <w:r>
        <w:rPr/>
        <w:t>При наличии финансирования здесь указывается формулировка на русском языке в соответствии с требованиями площадки.</w:t>
      </w:r>
    </w:p>
    <w:p>
      <w:pPr>
        <w:pStyle w:val="Heading2"/>
        <w:bidi w:val="0"/>
        <w:ind w:hanging="0" w:start="0"/>
        <w:jc w:val="start"/>
        <w:rPr/>
      </w:pPr>
      <w:r>
        <w:rPr/>
        <w:t>Список литературы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Jang J.-S. R. ANFIS: Adaptive-Network-Based Fuzzy Inference System // IEEE Transactions on Systems, Man, and Cybernetics. 1993. Vol. 23, no. 3. P. 665-685.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Paszke A., Gross S., Massa F. et al. PyTorch: An Imperative Style, High-Performance Deep Learning Library // Advances in Neural Information Processing Systems. 2019. Vol. 32.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Pedregosa F., Varoquaux G., Gramfort A. et al. Scikit-learn: Machine Learning in Python // Journal of Machine Learning Research. 2011. Vol. 12. P. 2825-2830.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Pace R. K., Barry R. Sparse Spatial Autoregressions // Statistics &amp; Probability Letters. 1997. Vol. 33, no. 3. P. 291-297. DOI: 10.1016/S0167-7152(96)00140-X.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Rudin C. Stop Explaining Black Box Machine Learning Models for High Stakes Decisions and Use Interpretable Models Instead // Nature Machine Intelligence. 2019. Vol. 1. P. 206-215. DOI: 10.1038/s42256-019-0048-x.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 X., Chen L., Deng Z. et al. Deep Image Feature Learning With Fuzzy Rules // IEEE Transactions on Emerging Topics in Computational Intelligence. 2024. Vol. 8. P. 724-737. DOI: 10.1109/TETCI.2023.3259447.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Lebedeffson. deep-neuro-fuzzy [Электронный ресурс]. URL: </w:t>
      </w:r>
      <w:hyperlink r:id="rId4">
        <w:r>
          <w:rPr>
            <w:rStyle w:val="Hyperlink"/>
          </w:rPr>
          <w:t>https://github.com/lebedeffson/deep-neuro-fuzzy</w:t>
        </w:r>
      </w:hyperlink>
      <w:r>
        <w:rPr/>
        <w:t xml:space="preserve"> (дата обращения: 13.04.2026).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Noto Sans">
    <w:charset w:val="01" w:characterSet="utf-8"/>
    <w:family w:val="swiss"/>
    <w:pitch w:val="variable"/>
  </w:font>
  <w:font w:name="Noto Sans Mono"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Noto Serif" w:hAnsi="Noto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Noto Sans Mono" w:hAnsi="Noto Sans Mono" w:eastAsia="Noto Sans Mono" w:cs="Noto Sans Devanagari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uthor1@example.com" TargetMode="External"/><Relationship Id="rId3" Type="http://schemas.openxmlformats.org/officeDocument/2006/relationships/hyperlink" Target="mailto:author2@example.com" TargetMode="External"/><Relationship Id="rId4" Type="http://schemas.openxmlformats.org/officeDocument/2006/relationships/hyperlink" Target="https://github.com/lebedeffson/deep-neuro-fuzzy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