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RuFLEX: A Hybrid Deep Fuzzy Learning Platform for Geodata with Interpretable Analysis of Rules, Factors, and Hidden Concepts</w:t>
      </w:r>
    </w:p>
    <w:p>
      <w:pPr>
        <w:jc w:val="center"/>
      </w:pPr>
      <w:r>
        <w:t>Author One, Author Two</w:t>
      </w:r>
    </w:p>
    <w:p>
      <w:pPr>
        <w:jc w:val="center"/>
      </w:pPr>
      <w:r>
        <w:t>Organization, City, Country</w:t>
      </w:r>
    </w:p>
    <w:p>
      <w:pPr>
        <w:jc w:val="center"/>
      </w:pPr>
      <w:r>
        <w:t>author1@example.com, author2@example.com</w:t>
      </w:r>
    </w:p>
    <w:p>
      <w:pPr>
        <w:jc w:val="center"/>
      </w:pPr>
      <w:r>
        <w:t>ORCID: 0000-0000-0000-0000, 0000-0000-0000-0000</w:t>
      </w:r>
    </w:p>
    <w:p>
      <w:r>
        <w:rPr>
          <w:b/>
        </w:rPr>
        <w:t>Abstract</w:t>
      </w:r>
    </w:p>
    <w:p>
      <w:r>
        <w:t>This paper presents RuFLEX, a platform for hybrid deep fuzzy learning oriented toward geoanalytics, spatially informed classification, forecasting, and intelligent decision support. The platform combines interpretable rule-based mechanisms, differentiable fuzzy layers, and deep fuzzy feature-learning architectures within a unified workflow implemented in Python and PyTorch. Experimental validation was carried out on California Housing Regression and California Value Binary Geo.</w:t>
      </w:r>
    </w:p>
    <w:p>
      <w:r>
        <w:rPr>
          <w:i/>
        </w:rPr>
        <w:t xml:space="preserve">Keywords: </w:t>
      </w:r>
      <w:r>
        <w:t>deep fuzzy learning; hybrid neuro-fuzzy models; deep fuzzy feature learning; explainability; geoanalytics; interpretable machine learning</w:t>
      </w:r>
    </w:p>
    <w:p>
      <w:r>
        <w:rPr>
          <w:b/>
        </w:rPr>
        <w:t>I. Introduction</w:t>
      </w:r>
    </w:p>
    <w:p>
      <w:r>
        <w:t>RuFLEX is designed as a platform rather than a single fixed architecture. It extends a vendored deep fuzzy backend with its own SDK, project model, explainability tooling, visual workbench, and reproducible experiment layer. This separation enables both backend continuity and independent platform evolution.</w:t>
      </w:r>
    </w:p>
    <w:p>
      <w:r>
        <w:t>The main objective is to support multiple hybrid deep fuzzy modeling modes while preserving interpretable reasoning at the level of membership functions, rules, hidden concepts, and factor contributions.</w:t>
      </w:r>
    </w:p>
    <w:p>
      <w:r>
        <w:rPr>
          <w:b/>
        </w:rPr>
        <w:t>II. Platform Architecture and Modeling Modes</w:t>
      </w:r>
    </w:p>
    <w:p>
      <w:r>
        <w:t>The current architecture includes a core layer with variables, terms, membership functions, rules, and model specifications; a model layer with flat neuro-fuzzy baselines and deep fuzzy feature learning; a training layer with bootstrap initialization, stage-wise pretraining, refinement, and fine-tuning; and an explainability layer with rule records, concept flow, and dashboard payloads.</w:t>
      </w:r>
    </w:p>
    <w:p>
      <w:pPr>
        <w:pStyle w:val="ListBullet"/>
      </w:pPr>
      <w:r>
        <w:t>Python SDK and toolbox-style API</w:t>
      </w:r>
    </w:p>
    <w:p>
      <w:pPr>
        <w:pStyle w:val="ListBullet"/>
      </w:pPr>
      <w:r>
        <w:t>visual workbench</w:t>
      </w:r>
    </w:p>
    <w:p>
      <w:pPr>
        <w:pStyle w:val="ListBullet"/>
      </w:pPr>
      <w:r>
        <w:t>differentiable fuzzy training contour</w:t>
      </w:r>
    </w:p>
    <w:p>
      <w:pPr>
        <w:pStyle w:val="ListBullet"/>
      </w:pPr>
      <w:r>
        <w:t>Explainability Dashboard</w:t>
      </w:r>
    </w:p>
    <w:p>
      <w:pPr>
        <w:pStyle w:val="ListBullet"/>
      </w:pPr>
      <w:r>
        <w:t>reproducible article benchmark pipeline</w:t>
      </w:r>
    </w:p>
    <w:p>
      <w:r>
        <w:rPr>
          <w:b/>
        </w:rPr>
        <w:t>III. Experimental Setup</w:t>
      </w:r>
    </w:p>
    <w:p>
      <w:r>
        <w:t>Two geo-oriented tabular tasks were used in validation: California Housing Regression and California Value Binary Geo. The first task preserves the spatial predictors Latitude and Longitude, while the second task uses the same source data to define a balanced binary classification problem based on housing value.</w:t>
      </w:r>
    </w:p>
    <w:p>
      <w:r>
        <w:t>The compared configurations were Flat Baseline, Flat Interpretable, Deep Article Demo, and Deep Research.</w:t>
      </w:r>
    </w:p>
    <w:p>
      <w:r>
        <w:rPr>
          <w:b/>
        </w:rPr>
        <w:t>IV. Results and Discussion</w:t>
      </w:r>
    </w:p>
    <w:p>
      <w:r>
        <w:t>On California Housing Regression, the best configuration was Deep Research with `test_rmse = 0.795757` and `test_r2 = 0.507159`. On California Value Binary Geo, the best configuration was Flat Interpretable with `test_accuracy = 0.746341` and `test_f1 = 0.739348`. This supports the platform-oriented design: different fuzzy regimes may become preferable depending on task structure.</w:t>
      </w:r>
    </w:p>
    <w:p>
      <w:pPr>
        <w:jc w:val="center"/>
      </w:pPr>
      <w:r>
        <w:rPr>
          <w:b/>
        </w:rPr>
        <w:t>Table I. Regression benchmark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Test RMSE</w:t>
            </w:r>
          </w:p>
        </w:tc>
        <w:tc>
          <w:tcPr>
            <w:tcW w:type="dxa" w:w="2160"/>
          </w:tcPr>
          <w:p>
            <w:r>
              <w:t>Test MAE</w:t>
            </w:r>
          </w:p>
        </w:tc>
        <w:tc>
          <w:tcPr>
            <w:tcW w:type="dxa" w:w="2160"/>
          </w:tcPr>
          <w:p>
            <w:r>
              <w:t>Test R2</w:t>
            </w:r>
          </w:p>
        </w:tc>
      </w:tr>
      <w:tr>
        <w:tc>
          <w:tcPr>
            <w:tcW w:type="dxa" w:w="2160"/>
          </w:tcPr>
          <w:p>
            <w:r>
              <w:t>Flat Baseline</w:t>
            </w:r>
          </w:p>
        </w:tc>
        <w:tc>
          <w:tcPr>
            <w:tcW w:type="dxa" w:w="2160"/>
          </w:tcPr>
          <w:p>
            <w:r>
              <w:t>0.890950</w:t>
            </w:r>
          </w:p>
        </w:tc>
        <w:tc>
          <w:tcPr>
            <w:tcW w:type="dxa" w:w="2160"/>
          </w:tcPr>
          <w:p>
            <w:r>
              <w:t>0.678868</w:t>
            </w:r>
          </w:p>
        </w:tc>
        <w:tc>
          <w:tcPr>
            <w:tcW w:type="dxa" w:w="2160"/>
          </w:tcPr>
          <w:p>
            <w:r>
              <w:t>0.382192</w:t>
            </w:r>
          </w:p>
        </w:tc>
      </w:tr>
      <w:tr>
        <w:tc>
          <w:tcPr>
            <w:tcW w:type="dxa" w:w="2160"/>
          </w:tcPr>
          <w:p>
            <w:r>
              <w:t>Flat Interpretable</w:t>
            </w:r>
          </w:p>
        </w:tc>
        <w:tc>
          <w:tcPr>
            <w:tcW w:type="dxa" w:w="2160"/>
          </w:tcPr>
          <w:p>
            <w:r>
              <w:t>1.115952</w:t>
            </w:r>
          </w:p>
        </w:tc>
        <w:tc>
          <w:tcPr>
            <w:tcW w:type="dxa" w:w="2160"/>
          </w:tcPr>
          <w:p>
            <w:r>
              <w:t>0.880786</w:t>
            </w:r>
          </w:p>
        </w:tc>
        <w:tc>
          <w:tcPr>
            <w:tcW w:type="dxa" w:w="2160"/>
          </w:tcPr>
          <w:p>
            <w:r>
              <w:t>0.030747</w:t>
            </w:r>
          </w:p>
        </w:tc>
      </w:tr>
      <w:tr>
        <w:tc>
          <w:tcPr>
            <w:tcW w:type="dxa" w:w="2160"/>
          </w:tcPr>
          <w:p>
            <w:r>
              <w:t>Deep Article Demo</w:t>
            </w:r>
          </w:p>
        </w:tc>
        <w:tc>
          <w:tcPr>
            <w:tcW w:type="dxa" w:w="2160"/>
          </w:tcPr>
          <w:p>
            <w:r>
              <w:t>0.816314</w:t>
            </w:r>
          </w:p>
        </w:tc>
        <w:tc>
          <w:tcPr>
            <w:tcW w:type="dxa" w:w="2160"/>
          </w:tcPr>
          <w:p>
            <w:r>
              <w:t>0.610628</w:t>
            </w:r>
          </w:p>
        </w:tc>
        <w:tc>
          <w:tcPr>
            <w:tcW w:type="dxa" w:w="2160"/>
          </w:tcPr>
          <w:p>
            <w:r>
              <w:t>0.481367</w:t>
            </w:r>
          </w:p>
        </w:tc>
      </w:tr>
      <w:tr>
        <w:tc>
          <w:tcPr>
            <w:tcW w:type="dxa" w:w="2160"/>
          </w:tcPr>
          <w:p>
            <w:r>
              <w:t>Deep Research</w:t>
            </w:r>
          </w:p>
        </w:tc>
        <w:tc>
          <w:tcPr>
            <w:tcW w:type="dxa" w:w="2160"/>
          </w:tcPr>
          <w:p>
            <w:r>
              <w:t>0.795757</w:t>
            </w:r>
          </w:p>
        </w:tc>
        <w:tc>
          <w:tcPr>
            <w:tcW w:type="dxa" w:w="2160"/>
          </w:tcPr>
          <w:p>
            <w:r>
              <w:t>0.593770</w:t>
            </w:r>
          </w:p>
        </w:tc>
        <w:tc>
          <w:tcPr>
            <w:tcW w:type="dxa" w:w="2160"/>
          </w:tcPr>
          <w:p>
            <w:r>
              <w:t>0.507159</w:t>
            </w:r>
          </w:p>
        </w:tc>
      </w:tr>
    </w:tbl>
    <w:p/>
    <w:p>
      <w:pPr>
        <w:jc w:val="center"/>
      </w:pPr>
      <w:r>
        <w:rPr>
          <w:b/>
        </w:rPr>
        <w:t>Table II. Classification benchmark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Test Accuracy</w:t>
            </w:r>
          </w:p>
        </w:tc>
        <w:tc>
          <w:tcPr>
            <w:tcW w:type="dxa" w:w="2160"/>
          </w:tcPr>
          <w:p>
            <w:r>
              <w:t>Test Precision</w:t>
            </w:r>
          </w:p>
        </w:tc>
        <w:tc>
          <w:tcPr>
            <w:tcW w:type="dxa" w:w="2160"/>
          </w:tcPr>
          <w:p>
            <w:r>
              <w:t>Test F1</w:t>
            </w:r>
          </w:p>
        </w:tc>
      </w:tr>
      <w:tr>
        <w:tc>
          <w:tcPr>
            <w:tcW w:type="dxa" w:w="2160"/>
          </w:tcPr>
          <w:p>
            <w:r>
              <w:t>Flat Baseline</w:t>
            </w:r>
          </w:p>
        </w:tc>
        <w:tc>
          <w:tcPr>
            <w:tcW w:type="dxa" w:w="2160"/>
          </w:tcPr>
          <w:p>
            <w:r>
              <w:t>0.742683</w:t>
            </w:r>
          </w:p>
        </w:tc>
        <w:tc>
          <w:tcPr>
            <w:tcW w:type="dxa" w:w="2160"/>
          </w:tcPr>
          <w:p>
            <w:r>
              <w:t>0.739899</w:t>
            </w:r>
          </w:p>
        </w:tc>
        <w:tc>
          <w:tcPr>
            <w:tcW w:type="dxa" w:w="2160"/>
          </w:tcPr>
          <w:p>
            <w:r>
              <w:t>0.735257</w:t>
            </w:r>
          </w:p>
        </w:tc>
      </w:tr>
      <w:tr>
        <w:tc>
          <w:tcPr>
            <w:tcW w:type="dxa" w:w="2160"/>
          </w:tcPr>
          <w:p>
            <w:r>
              <w:t>Flat Interpretable</w:t>
            </w:r>
          </w:p>
        </w:tc>
        <w:tc>
          <w:tcPr>
            <w:tcW w:type="dxa" w:w="2160"/>
          </w:tcPr>
          <w:p>
            <w:r>
              <w:t>0.746341</w:t>
            </w:r>
          </w:p>
        </w:tc>
        <w:tc>
          <w:tcPr>
            <w:tcW w:type="dxa" w:w="2160"/>
          </w:tcPr>
          <w:p>
            <w:r>
              <w:t>0.743073</w:t>
            </w:r>
          </w:p>
        </w:tc>
        <w:tc>
          <w:tcPr>
            <w:tcW w:type="dxa" w:w="2160"/>
          </w:tcPr>
          <w:p>
            <w:r>
              <w:t>0.739348</w:t>
            </w:r>
          </w:p>
        </w:tc>
      </w:tr>
      <w:tr>
        <w:tc>
          <w:tcPr>
            <w:tcW w:type="dxa" w:w="2160"/>
          </w:tcPr>
          <w:p>
            <w:r>
              <w:t>Deep Article Demo</w:t>
            </w:r>
          </w:p>
        </w:tc>
        <w:tc>
          <w:tcPr>
            <w:tcW w:type="dxa" w:w="2160"/>
          </w:tcPr>
          <w:p>
            <w:r>
              <w:t>0.739024</w:t>
            </w:r>
          </w:p>
        </w:tc>
        <w:tc>
          <w:tcPr>
            <w:tcW w:type="dxa" w:w="2160"/>
          </w:tcPr>
          <w:p>
            <w:r>
              <w:t>0.724221</w:t>
            </w:r>
          </w:p>
        </w:tc>
        <w:tc>
          <w:tcPr>
            <w:tcW w:type="dxa" w:w="2160"/>
          </w:tcPr>
          <w:p>
            <w:r>
              <w:t>0.738386</w:t>
            </w:r>
          </w:p>
        </w:tc>
      </w:tr>
      <w:tr>
        <w:tc>
          <w:tcPr>
            <w:tcW w:type="dxa" w:w="2160"/>
          </w:tcPr>
          <w:p>
            <w:r>
              <w:t>Deep Research</w:t>
            </w:r>
          </w:p>
        </w:tc>
        <w:tc>
          <w:tcPr>
            <w:tcW w:type="dxa" w:w="2160"/>
          </w:tcPr>
          <w:p>
            <w:r>
              <w:t>0.743902</w:t>
            </w:r>
          </w:p>
        </w:tc>
        <w:tc>
          <w:tcPr>
            <w:tcW w:type="dxa" w:w="2160"/>
          </w:tcPr>
          <w:p>
            <w:r>
              <w:t>0.741772</w:t>
            </w:r>
          </w:p>
        </w:tc>
        <w:tc>
          <w:tcPr>
            <w:tcW w:type="dxa" w:w="2160"/>
          </w:tcPr>
          <w:p>
            <w:r>
              <w:t>0.736181</w:t>
            </w:r>
          </w:p>
        </w:tc>
      </w:tr>
    </w:tbl>
    <w:p/>
    <w:p>
      <w:r>
        <w:rPr>
          <w:b/>
        </w:rPr>
        <w:t>V. Explainability Figures</w:t>
      </w:r>
    </w:p>
    <w:p>
      <w:r>
        <w:drawing>
          <wp:inline xmlns:a="http://schemas.openxmlformats.org/drawingml/2006/main" xmlns:pic="http://schemas.openxmlformats.org/drawingml/2006/picture">
            <wp:extent cx="5486400" cy="2021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regression_bench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1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1. Comparison of flat and deep fuzzy configurations on California Housing Regression.</w:t>
      </w:r>
    </w:p>
    <w:p>
      <w:r>
        <w:drawing>
          <wp:inline xmlns:a="http://schemas.openxmlformats.org/drawingml/2006/main" xmlns:pic="http://schemas.openxmlformats.org/drawingml/2006/picture">
            <wp:extent cx="5486400" cy="3852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regression_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2. Explainability board for the best regression configuration.</w:t>
      </w:r>
    </w:p>
    <w:p>
      <w:r>
        <w:drawing>
          <wp:inline xmlns:a="http://schemas.openxmlformats.org/drawingml/2006/main" xmlns:pic="http://schemas.openxmlformats.org/drawingml/2006/picture">
            <wp:extent cx="5486400" cy="20216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classification_bench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1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3. Comparison of RuFLEX configurations on California Value Binary Geo.</w:t>
      </w:r>
    </w:p>
    <w:p>
      <w:r>
        <w:drawing>
          <wp:inline xmlns:a="http://schemas.openxmlformats.org/drawingml/2006/main" xmlns:pic="http://schemas.openxmlformats.org/drawingml/2006/picture">
            <wp:extent cx="5486400" cy="38526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classification_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4. Explainability board for the best classification configuration.</w:t>
      </w:r>
    </w:p>
    <w:p>
      <w:r>
        <w:drawing>
          <wp:inline xmlns:a="http://schemas.openxmlformats.org/drawingml/2006/main" xmlns:pic="http://schemas.openxmlformats.org/drawingml/2006/picture">
            <wp:extent cx="5212080" cy="29605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membership_examp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6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5. Example membership functions used for interpretable fuzzification.</w:t>
      </w:r>
    </w:p>
    <w:p>
      <w:r>
        <w:rPr>
          <w:b/>
        </w:rPr>
        <w:t>VI. Conclusion</w:t>
      </w:r>
    </w:p>
    <w:p>
      <w:r>
        <w:t>RuFLEX combines interpretable rule-based mechanisms, differentiable fuzzy layers, deep fuzzy feature learning, a Python SDK, a visual workbench, and explainability tooling within one reproducible workflow. The current implementation is suitable for both regression and classification scenarios and provides a foundation for future work on spatial fuzzy modules, stronger logical traceability, and counterfactual analysis.</w:t>
      </w:r>
    </w:p>
    <w:p>
      <w:r>
        <w:rPr>
          <w:b/>
        </w:rPr>
        <w:t>Acknowledgment</w:t>
      </w:r>
    </w:p>
    <w:p>
      <w:r>
        <w:t>This block can be filled with acknowledgments or institutional support if required by the venue.</w:t>
      </w:r>
    </w:p>
    <w:p>
      <w:r>
        <w:rPr>
          <w:b/>
        </w:rPr>
        <w:t>Funding</w:t>
      </w:r>
    </w:p>
    <w:p>
      <w:r>
        <w:t>Funding information can be placed here if required by the venue.</w:t>
      </w:r>
    </w:p>
    <w:p>
      <w:r>
        <w:rPr>
          <w:b/>
        </w:rPr>
        <w:t>References</w:t>
      </w:r>
    </w:p>
    <w:p>
      <w:pPr>
        <w:pStyle w:val="ListNumber"/>
      </w:pPr>
      <w:r>
        <w:t>J.-S. R. Jang, “ANFIS: Adaptive-Network-Based Fuzzy Inference System,” IEEE Transactions on Systems, Man, and Cybernetics, vol. 23, no. 3, pp. 665-685, 1993.</w:t>
      </w:r>
    </w:p>
    <w:p>
      <w:pPr>
        <w:pStyle w:val="ListNumber"/>
      </w:pPr>
      <w:r>
        <w:t>A. Paszke, S. Gross, F. Massa et al., “PyTorch: An Imperative Style, High-Performance Deep Learning Library,” in Advances in Neural Information Processing Systems, vol. 32, 2019.</w:t>
      </w:r>
    </w:p>
    <w:p>
      <w:pPr>
        <w:pStyle w:val="ListNumber"/>
      </w:pPr>
      <w:r>
        <w:t>F. Pedregosa, G. Varoquaux, A. Gramfort et al., “Scikit-learn: Machine Learning in Python,” Journal of Machine Learning Research, vol. 12, pp. 2825-2830, 2011.</w:t>
      </w:r>
    </w:p>
    <w:p>
      <w:pPr>
        <w:pStyle w:val="ListNumber"/>
      </w:pPr>
      <w:r>
        <w:t>R. K. Pace and R. Barry, “Sparse Spatial Autoregressions,” Statistics &amp; Probability Letters, vol. 33, no. 3, pp. 291-297, 1997.</w:t>
      </w:r>
    </w:p>
    <w:p>
      <w:pPr>
        <w:pStyle w:val="ListNumber"/>
      </w:pPr>
      <w:r>
        <w:t>C. Rudin, “Stop Explaining Black Box Machine Learning Models for High Stakes Decisions and Use Interpretable Models Instead,” Nature Machine Intelligence, vol. 1, pp. 206-215, 2019.</w:t>
      </w:r>
    </w:p>
    <w:p>
      <w:pPr>
        <w:pStyle w:val="ListNumber"/>
      </w:pPr>
      <w:r>
        <w:t>X. Ma, L. Chen, Z. Deng Z. et al., “Deep Image Feature Learning With Fuzzy Rules,” IEEE Transactions on Emerging Topics in Computational Intelligence, vol. 8, pp. 724-737, 2024.</w:t>
      </w:r>
    </w:p>
    <w:p>
      <w:pPr>
        <w:pStyle w:val="ListNumber"/>
      </w:pPr>
      <w:r>
        <w:t>Lebedeffson, “deep-neuro-fuzzy,” GitHub repository. Available: https://github.com/lebedeffson/deep-neuro-fuzzy. Accessed: Apr. 13,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