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1871" w:right="1020" w:bottom="2381" w:left="1020" w:header="794" w:footer="12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40"/>
      <w:pBdr>
        <w:top w:val="single" w:sz="4" w:space="0" w:color="00347E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4195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ERICO ADVOGADOS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SHIS QL 22 Conjunto 9, Casa 8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Lago Sul · Brasília, DF</w:t>
          </w:r>
        </w:p>
      </w:tc>
      <w:tc>
        <w:tcPr>
          <w:tcW w:type="dxa" w:w="3402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erico@erico.law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erico.law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61 99887.7665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324" w:lineRule="auto"/>
            <w:jc w:val="right"/>
          </w:pPr>
          <w:r>
            <w:rPr>
              <w:rFonts w:ascii="Inter" w:hAnsi="Inter" w:cs="Inter"/>
              <w:b w:val="0"/>
              <w:color w:val="6B6860"/>
              <w:sz w:val="17"/>
            </w:rPr>
            <w:t>OAB/DF 1182426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80"/>
      <w:jc w:val="left"/>
    </w:pPr>
    <w:r>
      <w:drawing>
        <wp:inline xmlns:a="http://schemas.openxmlformats.org/drawingml/2006/main" xmlns:pic="http://schemas.openxmlformats.org/drawingml/2006/picture">
          <wp:extent cx="1872000" cy="149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rico-wordmark-gran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14976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pBdr>
        <w:bottom w:val="single" w:sz="4" w:space="0" w:color="00347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