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br/>
        <w:br/>
        <w:t>ESPECIFICACIÓN DE REQUISITOS</w:t>
        <w:br/>
        <w:t>DE SOFTWARE</w:t>
      </w:r>
    </w:p>
    <w:p>
      <w:pPr>
        <w:jc w:val="center"/>
      </w:pPr>
      <w:r>
        <w:rPr>
          <w:b/>
          <w:sz w:val="34"/>
        </w:rPr>
        <w:t>Sistema de Priorización Inteligente de Leads</w:t>
      </w:r>
    </w:p>
    <w:p>
      <w:pPr>
        <w:jc w:val="center"/>
      </w:pPr>
      <w:r>
        <w:rPr>
          <w:i/>
        </w:rPr>
        <w:t>Motos y Motores del Norte S.A.S.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F4E79"/>
            <w:vAlign w:val="center"/>
          </w:tcPr>
          <w:p>
            <w:r>
              <w:rPr>
                <w:b/>
                <w:color w:val="FFFFFF"/>
              </w:rPr>
              <w:t>Control del documento</w:t>
            </w:r>
          </w:p>
        </w:tc>
        <w:tc>
          <w:tcPr>
            <w:tcW w:type="dxa" w:w="6768"/>
            <w:shd w:fill="1F4E79"/>
            <w:vAlign w:val="center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vAlign w:val="top"/>
          </w:tcPr>
          <w:p>
            <w:r>
              <w:t>Norma de referencia</w:t>
            </w:r>
          </w:p>
        </w:tc>
        <w:tc>
          <w:tcPr>
            <w:tcW w:type="dxa" w:w="6768"/>
            <w:vAlign w:val="top"/>
          </w:tcPr>
          <w:p>
            <w:r>
              <w:t>IEEE 830 — Especificación de Requisitos de Software</w:t>
            </w:r>
          </w:p>
        </w:tc>
      </w:tr>
      <w:tr>
        <w:tc>
          <w:tcPr>
            <w:tcW w:type="dxa" w:w="2880"/>
            <w:vAlign w:val="top"/>
          </w:tcPr>
          <w:p>
            <w:r>
              <w:t>Versión</w:t>
            </w:r>
          </w:p>
        </w:tc>
        <w:tc>
          <w:tcPr>
            <w:tcW w:type="dxa" w:w="6768"/>
            <w:vAlign w:val="top"/>
          </w:tcPr>
          <w:p>
            <w:r>
              <w:t>1.0</w:t>
            </w:r>
          </w:p>
        </w:tc>
      </w:tr>
      <w:tr>
        <w:tc>
          <w:tcPr>
            <w:tcW w:type="dxa" w:w="2880"/>
            <w:vAlign w:val="top"/>
          </w:tcPr>
          <w:p>
            <w:r>
              <w:t>Estado</w:t>
            </w:r>
          </w:p>
        </w:tc>
        <w:tc>
          <w:tcPr>
            <w:tcW w:type="dxa" w:w="6768"/>
            <w:vAlign w:val="top"/>
          </w:tcPr>
          <w:p>
            <w:r>
              <w:t>Base para diseño, construcción y validación</w:t>
            </w:r>
          </w:p>
        </w:tc>
      </w:tr>
      <w:tr>
        <w:tc>
          <w:tcPr>
            <w:tcW w:type="dxa" w:w="2880"/>
            <w:vAlign w:val="top"/>
          </w:tcPr>
          <w:p>
            <w:r>
              <w:t>Fecha</w:t>
            </w:r>
          </w:p>
        </w:tc>
        <w:tc>
          <w:tcPr>
            <w:tcW w:type="dxa" w:w="6768"/>
            <w:vAlign w:val="top"/>
          </w:tcPr>
          <w:p>
            <w:r>
              <w:t>15 de septiembre de 2026</w:t>
            </w:r>
          </w:p>
        </w:tc>
      </w:tr>
      <w:tr>
        <w:tc>
          <w:tcPr>
            <w:tcW w:type="dxa" w:w="2880"/>
            <w:vAlign w:val="top"/>
          </w:tcPr>
          <w:p>
            <w:r>
              <w:t>Preparado para</w:t>
            </w:r>
          </w:p>
        </w:tc>
        <w:tc>
          <w:tcPr>
            <w:tcW w:type="dxa" w:w="6768"/>
            <w:vAlign w:val="top"/>
          </w:tcPr>
          <w:p>
            <w:r>
              <w:t>Proyecto de automatización y priorización comercial</w:t>
            </w:r>
          </w:p>
        </w:tc>
      </w:tr>
    </w:tbl>
    <w:p/>
    <w:p>
      <w:pPr>
        <w:pStyle w:val="Heading2"/>
      </w:pPr>
      <w:r>
        <w:t>Propósito del documento</w:t>
      </w:r>
    </w:p>
    <w:p>
      <w:r>
        <w:t>Definir de forma verificable los requisitos funcionales, no funcionales, restricciones y arquitectura de alto nivel del sistema que transforma leads provenientes de varios canales en una lista diaria, enriquecida y priorizada por asesor. Este documento se fundamenta en el enunciado de evaluación suministrado.</w:t>
      </w:r>
    </w:p>
    <w:p>
      <w:r>
        <w:br w:type="page"/>
      </w:r>
    </w:p>
    <w:p>
      <w:pPr>
        <w:pStyle w:val="Title"/>
      </w:pPr>
      <w:r>
        <w:t>Contenido</w:t>
      </w:r>
    </w:p>
    <w:p>
      <w:pPr>
        <w:pStyle w:val="ListNumber"/>
      </w:pPr>
      <w:r>
        <w:t>1. Introducción</w:t>
      </w:r>
    </w:p>
    <w:p>
      <w:pPr>
        <w:pStyle w:val="ListNumber"/>
      </w:pPr>
      <w:r>
        <w:t>2. Descripción general</w:t>
      </w:r>
    </w:p>
    <w:p>
      <w:pPr>
        <w:pStyle w:val="ListNumber"/>
      </w:pPr>
      <w:r>
        <w:t>3. Requisitos específicos</w:t>
      </w:r>
    </w:p>
    <w:p>
      <w:pPr>
        <w:pStyle w:val="ListNumber"/>
      </w:pPr>
      <w:r>
        <w:t>4. Requisitos no funcionales</w:t>
      </w:r>
    </w:p>
    <w:p>
      <w:pPr>
        <w:pStyle w:val="ListNumber"/>
      </w:pPr>
      <w:r>
        <w:t>5. Arquitectura de referencia</w:t>
      </w:r>
    </w:p>
    <w:p>
      <w:pPr>
        <w:pStyle w:val="ListNumber"/>
      </w:pPr>
      <w:r>
        <w:t>6. Patrones de diseño</w:t>
      </w:r>
    </w:p>
    <w:p>
      <w:pPr>
        <w:pStyle w:val="ListNumber"/>
      </w:pPr>
      <w:r>
        <w:t>7. Modelo de datos conceptual</w:t>
      </w:r>
    </w:p>
    <w:p>
      <w:pPr>
        <w:pStyle w:val="ListNumber"/>
      </w:pPr>
      <w:r>
        <w:t>8. Trazabilidad y criterios de aceptación</w:t>
      </w:r>
    </w:p>
    <w:p>
      <w:pPr>
        <w:pStyle w:val="ListNumber"/>
      </w:pPr>
      <w:r>
        <w:t>Apéndice A. Glosario</w:t>
      </w:r>
    </w:p>
    <w:p>
      <w:pPr>
        <w:pStyle w:val="ListNumber"/>
      </w:pPr>
      <w:r>
        <w:t>Apéndice B. Supuestos y decisiones abiertas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Esta Especificación de Requisitos de Software (ERS) establece el alcance contractual y técnico del Sistema de Priorización Inteligente de Leads, en adelante “el Sistema”. Está dirigida a negocio, desarrollo, calidad, datos, operación comercial y evaluación técnica.</w:t>
      </w:r>
    </w:p>
    <w:p>
      <w:pPr>
        <w:pStyle w:val="Heading2"/>
      </w:pPr>
      <w:r>
        <w:t>1.2 Alcance</w:t>
      </w:r>
    </w:p>
    <w:p>
      <w:r>
        <w:t>El Sistema consolidará datos de leads, conversaciones, catálogo, asesores e histórico de cierres; normalizará y deduplicará la información; extraerá señales comerciales desde conversaciones mediante IA; calculará una prioridad explicable; asignará trabajo diario respetando la capacidad de los asesores; y presentará la información en una vista pública de gestión. La persistencia se realizará en PostgreSQL.</w:t>
      </w:r>
    </w:p>
    <w:p>
      <w:pPr>
        <w:pStyle w:val="IntenseQuote"/>
      </w:pPr>
      <w:r>
        <w:t>Fuera de alcance en esta primera versión: envío automático de mensajes, modificación directa de sistemas CRM externos, firma de contratos, desembolsos, autenticación corporativa completa y entrenamiento continuo de modelos de IA.</w:t>
      </w:r>
    </w:p>
    <w:p>
      <w:pPr>
        <w:pStyle w:val="Heading2"/>
      </w:pPr>
      <w:r>
        <w:t>1.3 Definiciones, siglas y abreviaturas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968"/>
            <w:vAlign w:val="top"/>
          </w:tcPr>
          <w:p>
            <w:r>
              <w:t>Lead</w:t>
            </w:r>
          </w:p>
        </w:tc>
        <w:tc>
          <w:tcPr>
            <w:tcW w:type="dxa" w:w="4968"/>
            <w:vAlign w:val="top"/>
          </w:tcPr>
          <w:p>
            <w:r>
              <w:t>Persona o registro con interés comercial en una motocicleta.</w:t>
            </w:r>
          </w:p>
        </w:tc>
      </w:tr>
      <w:tr>
        <w:tc>
          <w:tcPr>
            <w:tcW w:type="dxa" w:w="4968"/>
            <w:vAlign w:val="top"/>
          </w:tcPr>
          <w:p>
            <w:r>
              <w:t>Lead canónico</w:t>
            </w:r>
          </w:p>
        </w:tc>
        <w:tc>
          <w:tcPr>
            <w:tcW w:type="dxa" w:w="4968"/>
            <w:vAlign w:val="top"/>
          </w:tcPr>
          <w:p>
            <w:r>
              <w:t>Registro consolidado que representa un grupo de duplicados dentro de una misma empresa.</w:t>
            </w:r>
          </w:p>
        </w:tc>
      </w:tr>
      <w:tr>
        <w:tc>
          <w:tcPr>
            <w:tcW w:type="dxa" w:w="4968"/>
            <w:vAlign w:val="top"/>
          </w:tcPr>
          <w:p>
            <w:r>
              <w:t>Score</w:t>
            </w:r>
          </w:p>
        </w:tc>
        <w:tc>
          <w:tcPr>
            <w:tcW w:type="dxa" w:w="4968"/>
            <w:vAlign w:val="top"/>
          </w:tcPr>
          <w:p>
            <w:r>
              <w:t>Valor numérico usado para ordenar la prioridad de gestión.</w:t>
            </w:r>
          </w:p>
        </w:tc>
      </w:tr>
      <w:tr>
        <w:tc>
          <w:tcPr>
            <w:tcW w:type="dxa" w:w="4968"/>
            <w:vAlign w:val="top"/>
          </w:tcPr>
          <w:p>
            <w:r>
              <w:t>Temperatura</w:t>
            </w:r>
          </w:p>
        </w:tc>
        <w:tc>
          <w:tcPr>
            <w:tcW w:type="dxa" w:w="4968"/>
            <w:vAlign w:val="top"/>
          </w:tcPr>
          <w:p>
            <w:r>
              <w:t>Clasificación operativa derivada del score: caliente, tibio o frío.</w:t>
            </w:r>
          </w:p>
        </w:tc>
      </w:tr>
      <w:tr>
        <w:tc>
          <w:tcPr>
            <w:tcW w:type="dxa" w:w="4968"/>
            <w:vAlign w:val="top"/>
          </w:tcPr>
          <w:p>
            <w:r>
              <w:t>Enriquecimiento IA</w:t>
            </w:r>
          </w:p>
        </w:tc>
        <w:tc>
          <w:tcPr>
            <w:tcW w:type="dxa" w:w="4968"/>
            <w:vAlign w:val="top"/>
          </w:tcPr>
          <w:p>
            <w:r>
              <w:t>Extracción estructurada de señales comerciales desde una conversación.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Comercializadora / empresa</w:t>
            </w:r>
          </w:p>
        </w:tc>
        <w:tc>
          <w:tcPr>
            <w:tcW w:type="dxa" w:w="4968"/>
            <w:vAlign w:val="top"/>
          </w:tcPr>
          <w:p>
            <w:r>
              <w:t>Unidad de negocio cuyos datos deben mantenerse segregados.</w:t>
            </w:r>
          </w:p>
        </w:tc>
      </w:tr>
      <w:tr>
        <w:tc>
          <w:tcPr>
            <w:tcW w:type="dxa" w:w="4968"/>
            <w:vAlign w:val="top"/>
          </w:tcPr>
          <w:p>
            <w:r>
              <w:t>ERS</w:t>
            </w:r>
          </w:p>
        </w:tc>
        <w:tc>
          <w:tcPr>
            <w:tcW w:type="dxa" w:w="4968"/>
            <w:vAlign w:val="top"/>
          </w:tcPr>
          <w:p>
            <w:r>
              <w:t>Especificación de Requisitos de Software.</w:t>
            </w:r>
          </w:p>
        </w:tc>
      </w:tr>
    </w:tbl>
    <w:p/>
    <w:p>
      <w:pPr>
        <w:pStyle w:val="Heading2"/>
      </w:pPr>
      <w:r>
        <w:t>1.4 Referencias</w:t>
      </w:r>
    </w:p>
    <w:p>
      <w:pPr>
        <w:pStyle w:val="ListBullet"/>
      </w:pPr>
      <w:r>
        <w:t>Enunciado del assessment “Analista IA”, proporcionado por el solicitante.</w:t>
      </w:r>
    </w:p>
    <w:p>
      <w:pPr>
        <w:pStyle w:val="ListBullet"/>
      </w:pPr>
      <w:r>
        <w:t>IEEE 830, práctica de especificación de requisitos de software; se adopta su estructura documental.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Perspectiva del producto</w:t>
      </w:r>
    </w:p>
    <w:p>
      <w:r>
        <w:t>El Sistema se implementará como una solución web con un proceso automatizado de datos. El proceso de ingesta recibe archivos fuente, persiste información de origen y datos consolidados en PostgreSQL, ejecuta enriquecimiento con IA y publica resultados mediante una API. Un frontend consume la API para entregar la cola de trabajo diaria por asesor.</w:t>
      </w:r>
    </w:p>
    <w:p>
      <w:pPr>
        <w:pStyle w:val="Heading2"/>
      </w:pPr>
      <w:r>
        <w:t>2.2 Problema de negocio</w:t>
      </w:r>
    </w:p>
    <w:p>
      <w:r>
        <w:t>La organización gestiona más de 3.000 leads mensuales que llegan por WhatsApp, Meta y web. La atención por orden de llegada, el contacto tardío y la información no estructurada de WhatsApp dificultan el seguimiento y la conversión. El Sistema deberá orientar la gestión comercial hacia los leads con mayor prioridad y urgencia operativa.</w:t>
      </w:r>
    </w:p>
    <w:p>
      <w:pPr>
        <w:pStyle w:val="Heading2"/>
      </w:pPr>
      <w:r>
        <w:t>2.3 Usuarios y actores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Responsabilidad / interacción</w:t>
            </w:r>
          </w:p>
        </w:tc>
      </w:tr>
      <w:tr>
        <w:tc>
          <w:tcPr>
            <w:tcW w:type="dxa" w:w="4968"/>
            <w:vAlign w:val="top"/>
          </w:tcPr>
          <w:p>
            <w:r>
              <w:t>Asesor comercial</w:t>
            </w:r>
          </w:p>
        </w:tc>
        <w:tc>
          <w:tcPr>
            <w:tcW w:type="dxa" w:w="4968"/>
            <w:vAlign w:val="top"/>
          </w:tcPr>
          <w:p>
            <w:r>
              <w:t>Consulta sus leads priorizados y los datos enriquecidos para gestionar contactos.</w:t>
            </w:r>
          </w:p>
        </w:tc>
      </w:tr>
      <w:tr>
        <w:tc>
          <w:tcPr>
            <w:tcW w:type="dxa" w:w="4968"/>
            <w:vAlign w:val="top"/>
          </w:tcPr>
          <w:p>
            <w:r>
              <w:t>Supervisor comercial</w:t>
            </w:r>
          </w:p>
        </w:tc>
        <w:tc>
          <w:tcPr>
            <w:tcW w:type="dxa" w:w="4968"/>
            <w:vAlign w:val="top"/>
          </w:tcPr>
          <w:p>
            <w:r>
              <w:t>Consulta la priorización y la capacidad asignada de asesores de su ámbito.</w:t>
            </w:r>
          </w:p>
        </w:tc>
      </w:tr>
      <w:tr>
        <w:tc>
          <w:tcPr>
            <w:tcW w:type="dxa" w:w="4968"/>
            <w:vAlign w:val="top"/>
          </w:tcPr>
          <w:p>
            <w:r>
              <w:t>Administrador técnico</w:t>
            </w:r>
          </w:p>
        </w:tc>
        <w:tc>
          <w:tcPr>
            <w:tcW w:type="dxa" w:w="4968"/>
            <w:vAlign w:val="top"/>
          </w:tcPr>
          <w:p>
            <w:r>
              <w:t>Configura fuentes, secretos, ejecución del proceso y despliegue.</w:t>
            </w:r>
          </w:p>
        </w:tc>
      </w:tr>
      <w:tr>
        <w:tc>
          <w:tcPr>
            <w:tcW w:type="dxa" w:w="4968"/>
            <w:vAlign w:val="top"/>
          </w:tcPr>
          <w:p>
            <w:r>
              <w:t>Proceso automatizado</w:t>
            </w:r>
          </w:p>
        </w:tc>
        <w:tc>
          <w:tcPr>
            <w:tcW w:type="dxa" w:w="4968"/>
            <w:vAlign w:val="top"/>
          </w:tcPr>
          <w:p>
            <w:r>
              <w:t>Ingiere, transforma, enriquece, puntúa y asigna leads.</w:t>
            </w:r>
          </w:p>
        </w:tc>
      </w:tr>
      <w:tr>
        <w:tc>
          <w:tcPr>
            <w:tcW w:type="dxa" w:w="4968"/>
            <w:vAlign w:val="top"/>
          </w:tcPr>
          <w:p>
            <w:r>
              <w:t>Servicio de IA</w:t>
            </w:r>
          </w:p>
        </w:tc>
        <w:tc>
          <w:tcPr>
            <w:tcW w:type="dxa" w:w="4968"/>
            <w:vAlign w:val="top"/>
          </w:tcPr>
          <w:p>
            <w:r>
              <w:t>Devuelve extracción estructurada de conversaciones.</w:t>
            </w:r>
          </w:p>
        </w:tc>
      </w:tr>
    </w:tbl>
    <w:p/>
    <w:p>
      <w:pPr>
        <w:pStyle w:val="Heading2"/>
      </w:pPr>
      <w:r>
        <w:t>2.4 Entorno operativo</w:t>
      </w:r>
    </w:p>
    <w:p>
      <w:pPr>
        <w:pStyle w:val="ListBullet"/>
      </w:pPr>
      <w:r>
        <w:t>Backend: servicio Python expuesto mediante API REST.</w:t>
      </w:r>
    </w:p>
    <w:p>
      <w:pPr>
        <w:pStyle w:val="ListBullet"/>
      </w:pPr>
      <w:r>
        <w:t>Frontend: aplicación web responsiva para consulta operativa.</w:t>
      </w:r>
    </w:p>
    <w:p>
      <w:pPr>
        <w:pStyle w:val="ListBullet"/>
      </w:pPr>
      <w:r>
        <w:t>Persistencia: PostgreSQL administrado o autoalojado.</w:t>
      </w:r>
    </w:p>
    <w:p>
      <w:pPr>
        <w:pStyle w:val="ListBullet"/>
      </w:pPr>
      <w:r>
        <w:t>Automatización: ejecución programada o por evento, sin notebooks ejecutados manualmente.</w:t>
      </w:r>
    </w:p>
    <w:p>
      <w:pPr>
        <w:pStyle w:val="ListBullet"/>
      </w:pPr>
      <w:r>
        <w:t>Despliegue: servicios accesibles mediante URL pública.</w:t>
      </w:r>
    </w:p>
    <w:p>
      <w:pPr>
        <w:pStyle w:val="Heading2"/>
      </w:pPr>
      <w:r>
        <w:t>2.5 Restricciones</w:t>
      </w:r>
    </w:p>
    <w:p>
      <w:pPr>
        <w:pStyle w:val="ListBullet"/>
      </w:pPr>
      <w:r>
        <w:t>El sistema deberá usar PostgreSQL como base de datos principal.</w:t>
      </w:r>
    </w:p>
    <w:p>
      <w:pPr>
        <w:pStyle w:val="ListBullet"/>
      </w:pPr>
      <w:r>
        <w:t>Las credenciales, claves API y cadenas de conexión no deberán almacenarse en el repositorio.</w:t>
      </w:r>
    </w:p>
    <w:p>
      <w:pPr>
        <w:pStyle w:val="ListBullet"/>
      </w:pPr>
      <w:r>
        <w:t>Cada comercializadora solo podrá visualizar y procesar sus propios datos.</w:t>
      </w:r>
    </w:p>
    <w:p>
      <w:pPr>
        <w:pStyle w:val="ListBullet"/>
      </w:pPr>
      <w:r>
        <w:t>La solución deberá automatizar el flujo de extremo a extremo.</w:t>
      </w:r>
    </w:p>
    <w:p>
      <w:pPr>
        <w:pStyle w:val="ListBullet"/>
      </w:pPr>
      <w:r>
        <w:t>La primera versión debe ser viable para un plazo de implementación de cinco días calendario.</w:t>
      </w:r>
    </w:p>
    <w:p>
      <w:pPr>
        <w:pStyle w:val="Heading1"/>
      </w:pPr>
      <w:r>
        <w:t>3. Requisitos específicos</w:t>
      </w:r>
    </w:p>
    <w:p>
      <w:pPr>
        <w:pStyle w:val="Heading2"/>
      </w:pPr>
      <w:r>
        <w:t>3.1 Interfaces externas</w:t>
      </w:r>
    </w:p>
    <w:p>
      <w:r>
        <w:t>El Sistema recibirá como fuentes de entrada los archivos `leads.csv`, `conversaciones.json`, `catalogo_motos.csv`, `asesores.csv` e `historico_cierres.csv`. Las estructuras de campos se validarán contra el contenido real suministrado antes de la implementación. La API expondrá respuestas JSON y el frontend consumirá exclusivamente la API.</w:t>
      </w:r>
    </w:p>
    <w:p>
      <w:pPr>
        <w:pStyle w:val="Heading2"/>
      </w:pPr>
      <w:r>
        <w:t>3.2 Requisitos funcionales</w:t>
      </w:r>
    </w:p>
    <w:p>
      <w:r>
        <w:rPr>
          <w:b/>
        </w:rPr>
        <w:t>RF-01 — Ingesta automatizada de fuentes</w:t>
      </w:r>
    </w:p>
    <w:p>
      <w:r>
        <w:t>El Sistema deberá ejecutar la lectura y carga de las cinco fuentes de datos sin intervención manual. Cada ejecución deberá registrar fecha, estado, cantidad de registros procesados y errores.</w:t>
      </w:r>
    </w:p>
    <w:p>
      <w:pPr>
        <w:pStyle w:val="IntenseQuote"/>
      </w:pPr>
      <w:r>
        <w:t>Prioridad: Alta.</w:t>
      </w:r>
    </w:p>
    <w:p>
      <w:r>
        <w:t>Criterio de aceptación: Al ejecutar el proceso, se crea un registro de ejecución y se cargan o actualizan los datos de todas las fuentes disponibles.</w:t>
      </w:r>
    </w:p>
    <w:p>
      <w:r>
        <w:rPr>
          <w:b/>
        </w:rPr>
        <w:t>RF-02 — Persistencia y trazabilidad de datos de origen</w:t>
      </w:r>
    </w:p>
    <w:p>
      <w:r>
        <w:t>El Sistema deberá conservar los datos de origen necesarios para auditoría, además de las versiones normalizadas y consolidadas.</w:t>
      </w:r>
    </w:p>
    <w:p>
      <w:pPr>
        <w:pStyle w:val="IntenseQuote"/>
      </w:pPr>
      <w:r>
        <w:t>Prioridad: Alta.</w:t>
      </w:r>
    </w:p>
    <w:p>
      <w:r>
        <w:t>Criterio de aceptación: Un lead procesado puede relacionarse con su registro de origen y con la ejecución que lo procesó.</w:t>
      </w:r>
    </w:p>
    <w:p>
      <w:r>
        <w:rPr>
          <w:b/>
        </w:rPr>
        <w:t>RF-03 — Normalización de leads</w:t>
      </w:r>
    </w:p>
    <w:p>
      <w:r>
        <w:t>El Sistema deberá normalizar, como mínimo, teléfono, fecha, ciudad y modelo de motocicleta, preservando el valor de origen cuando exista transformación.</w:t>
      </w:r>
    </w:p>
    <w:p>
      <w:pPr>
        <w:pStyle w:val="IntenseQuote"/>
      </w:pPr>
      <w:r>
        <w:t>Prioridad: Alta.</w:t>
      </w:r>
    </w:p>
    <w:p>
      <w:r>
        <w:t>Criterio de aceptación: La consulta de un lead permite identificar valor original y valor normalizado para los atributos transformados.</w:t>
      </w:r>
    </w:p>
    <w:p>
      <w:r>
        <w:rPr>
          <w:b/>
        </w:rPr>
        <w:t>RF-04 — Deduplización y consolidación</w:t>
      </w:r>
    </w:p>
    <w:p>
      <w:r>
        <w:t>El Sistema deberá detectar duplicados por reglas explicables, seleccionar un lead canónico y conservar el vínculo de los registros asociados. La deduplicación no podrá cruzar empresas.</w:t>
      </w:r>
    </w:p>
    <w:p>
      <w:pPr>
        <w:pStyle w:val="IntenseQuote"/>
      </w:pPr>
      <w:r>
        <w:t>Prioridad: Alta.</w:t>
      </w:r>
    </w:p>
    <w:p>
      <w:r>
        <w:t>Criterio de aceptación: Dos leads con mismo atributo de contacto normalizado dentro de una empresa se agrupan; el mismo dato entre empresas distintas no se agrupa.</w:t>
      </w:r>
    </w:p>
    <w:p>
      <w:r>
        <w:rPr>
          <w:b/>
        </w:rPr>
        <w:t>RF-05 — Procesamiento de conversaciones</w:t>
      </w:r>
    </w:p>
    <w:p>
      <w:r>
        <w:t>El Sistema deberá asociar conversaciones de WhatsApp con sus leads cuando la información fuente permita la relación, manteniendo el contenido y orden temporal requeridos para trazabilidad.</w:t>
      </w:r>
    </w:p>
    <w:p>
      <w:pPr>
        <w:pStyle w:val="IntenseQuote"/>
      </w:pPr>
      <w:r>
        <w:t>Prioridad: Alta.</w:t>
      </w:r>
    </w:p>
    <w:p>
      <w:r>
        <w:t>Criterio de aceptación: Un lead con conversación relacionada permite recuperar su conversación y el resultado de procesamiento.</w:t>
      </w:r>
    </w:p>
    <w:p>
      <w:r>
        <w:rPr>
          <w:b/>
        </w:rPr>
        <w:t>RF-06 — Enriquecimiento con IA</w:t>
      </w:r>
    </w:p>
    <w:p>
      <w:r>
        <w:t>El Sistema deberá extraer, cuando la conversación lo permita: modelo de interés, presupuesto o cuota inicial, forma de pago, intención declarada, objeción principal, solicitud de cita y solicitud de cotización. La extracción deberá producir una estructura validable y registrar la confianza o ausencia de información.</w:t>
      </w:r>
    </w:p>
    <w:p>
      <w:pPr>
        <w:pStyle w:val="IntenseQuote"/>
      </w:pPr>
      <w:r>
        <w:t>Prioridad: Alta.</w:t>
      </w:r>
    </w:p>
    <w:p>
      <w:r>
        <w:t>Criterio de aceptación: La salida guardada contiene los campos definidos; información no evidenciada se almacena como nula o no disponible, sin inventar datos.</w:t>
      </w:r>
    </w:p>
    <w:p>
      <w:r>
        <w:rPr>
          <w:b/>
        </w:rPr>
        <w:t>RF-07 — Normalización de interés de producto</w:t>
      </w:r>
    </w:p>
    <w:p>
      <w:r>
        <w:t>El Sistema deberá contrastar el modelo identificado en el lead o conversación con el catálogo de motos y registrar un nivel de confianza o estado pendiente cuando no haya coincidencia suficiente.</w:t>
      </w:r>
    </w:p>
    <w:p>
      <w:pPr>
        <w:pStyle w:val="IntenseQuote"/>
      </w:pPr>
      <w:r>
        <w:t>Prioridad: Media.</w:t>
      </w:r>
    </w:p>
    <w:p>
      <w:r>
        <w:t>Criterio de aceptación: La interfaz diferencia un modelo normalizado de un valor no confirmado o pendiente de validación.</w:t>
      </w:r>
    </w:p>
    <w:p>
      <w:r>
        <w:rPr>
          <w:b/>
        </w:rPr>
        <w:t>RF-08 — Cálculo de prioridad explicable</w:t>
      </w:r>
    </w:p>
    <w:p>
      <w:r>
        <w:t>El Sistema deberá calcular un score de prioridad usando señales comerciales y urgencia operativa. Cada score deberá guardar su versión, fecha y razones o factores que justifican su resultado.</w:t>
      </w:r>
    </w:p>
    <w:p>
      <w:pPr>
        <w:pStyle w:val="IntenseQuote"/>
      </w:pPr>
      <w:r>
        <w:t>Prioridad: Alta.</w:t>
      </w:r>
    </w:p>
    <w:p>
      <w:r>
        <w:t>Criterio de aceptación: Cada lead priorizado muestra score, temperatura y al menos una explicación legible de los factores aplicados.</w:t>
      </w:r>
    </w:p>
    <w:p>
      <w:r>
        <w:rPr>
          <w:b/>
        </w:rPr>
        <w:t>RF-09 — Clasificación por temperatura</w:t>
      </w:r>
    </w:p>
    <w:p>
      <w:r>
        <w:t>El Sistema deberá clasificar leads como caliente, tibio o frío de acuerdo con rangos configurables del score.</w:t>
      </w:r>
    </w:p>
    <w:p>
      <w:pPr>
        <w:pStyle w:val="IntenseQuote"/>
      </w:pPr>
      <w:r>
        <w:t>Prioridad: Alta.</w:t>
      </w:r>
    </w:p>
    <w:p>
      <w:r>
        <w:t>Criterio de aceptación: Un cambio de rango configurado modifica coherentemente la clasificación en una nueva ejecución.</w:t>
      </w:r>
    </w:p>
    <w:p>
      <w:r>
        <w:rPr>
          <w:b/>
        </w:rPr>
        <w:t>RF-10 — Validación con histórico</w:t>
      </w:r>
    </w:p>
    <w:p>
      <w:r>
        <w:t>El Sistema deberá usar el histórico de cierres para generar métricas que permitan contrastar la capacidad discriminativa de la lógica de priorización.</w:t>
      </w:r>
    </w:p>
    <w:p>
      <w:pPr>
        <w:pStyle w:val="IntenseQuote"/>
      </w:pPr>
      <w:r>
        <w:t>Prioridad: Alta.</w:t>
      </w:r>
    </w:p>
    <w:p>
      <w:r>
        <w:t>Criterio de aceptación: La vista de validación presenta, como mínimo, tasa de cierre por segmento de prioridad o temperatura.</w:t>
      </w:r>
    </w:p>
    <w:p>
      <w:r>
        <w:rPr>
          <w:b/>
        </w:rPr>
        <w:t>RF-11 — Asignación por capacidad</w:t>
      </w:r>
    </w:p>
    <w:p>
      <w:r>
        <w:t>El Sistema deberá crear una lista diaria de leads por asesor y no deberá asignar una cantidad superior a la capacidad diaria registrada para cada asesor.</w:t>
      </w:r>
    </w:p>
    <w:p>
      <w:pPr>
        <w:pStyle w:val="IntenseQuote"/>
      </w:pPr>
      <w:r>
        <w:t>Prioridad: Alta.</w:t>
      </w:r>
    </w:p>
    <w:p>
      <w:r>
        <w:t>Criterio de aceptación: Para cada asesor y fecha, la cantidad de asignaciones activas no supera su capacidad diaria.</w:t>
      </w:r>
    </w:p>
    <w:p>
      <w:r>
        <w:rPr>
          <w:b/>
        </w:rPr>
        <w:t>RF-12 — Consulta de cola diaria</w:t>
      </w:r>
    </w:p>
    <w:p>
      <w:r>
        <w:t>El frontend deberá permitir consultar los leads priorizados de un asesor, mostrando como mínimo prioridad, temperatura, datos de contacto, interés de producto y señales extraídas disponibles.</w:t>
      </w:r>
    </w:p>
    <w:p>
      <w:pPr>
        <w:pStyle w:val="IntenseQuote"/>
      </w:pPr>
      <w:r>
        <w:t>Prioridad: Alta.</w:t>
      </w:r>
    </w:p>
    <w:p>
      <w:r>
        <w:t>Criterio de aceptación: Un asesor puede acceder a su lista ordenada de mayor a menor prioridad.</w:t>
      </w:r>
    </w:p>
    <w:p>
      <w:r>
        <w:rPr>
          <w:b/>
        </w:rPr>
        <w:t>RF-13 — Filtros operativos</w:t>
      </w:r>
    </w:p>
    <w:p>
      <w:r>
        <w:t>El frontend deberá permitir filtrar la cola de leads por empresa, punto de venta, asesor, temperatura, canal y estado cuando esos atributos estén disponibles en los datos.</w:t>
      </w:r>
    </w:p>
    <w:p>
      <w:pPr>
        <w:pStyle w:val="IntenseQuote"/>
      </w:pPr>
      <w:r>
        <w:t>Prioridad: Media.</w:t>
      </w:r>
    </w:p>
    <w:p>
      <w:r>
        <w:t>Criterio de aceptación: La tabla refleja los filtros seleccionados y conserva el aislamiento de empresa.</w:t>
      </w:r>
    </w:p>
    <w:p>
      <w:r>
        <w:rPr>
          <w:b/>
        </w:rPr>
        <w:t>RF-14 — Segregación por empresa</w:t>
      </w:r>
    </w:p>
    <w:p>
      <w:r>
        <w:t>El backend deberá restringir consultas, consolidación y asignación a la empresa autorizada; la separación no dependerá únicamente de ocultar elementos en la interfaz.</w:t>
      </w:r>
    </w:p>
    <w:p>
      <w:pPr>
        <w:pStyle w:val="IntenseQuote"/>
      </w:pPr>
      <w:r>
        <w:t>Prioridad: Alta.</w:t>
      </w:r>
    </w:p>
    <w:p>
      <w:r>
        <w:t>Criterio de aceptación: Una solicitud realizada en el contexto de una empresa no devuelve datos de otra empresa.</w:t>
      </w:r>
    </w:p>
    <w:p>
      <w:r>
        <w:rPr>
          <w:b/>
        </w:rPr>
        <w:t>RF-15 — API de consulta</w:t>
      </w:r>
    </w:p>
    <w:p>
      <w:r>
        <w:t>El Sistema deberá ofrecer una API REST con, como mínimo, comprobación de salud, consulta de cola por asesor, detalle de lead y métricas de validación.</w:t>
      </w:r>
    </w:p>
    <w:p>
      <w:pPr>
        <w:pStyle w:val="IntenseQuote"/>
      </w:pPr>
      <w:r>
        <w:t>Prioridad: Media.</w:t>
      </w:r>
    </w:p>
    <w:p>
      <w:r>
        <w:t>Criterio de aceptación: Los endpoints definidos responden con JSON, códigos HTTP apropiados y no exponen secretos.</w:t>
      </w:r>
    </w:p>
    <w:p>
      <w:r>
        <w:rPr>
          <w:b/>
        </w:rPr>
        <w:t>RF-16 — Ejecución programada o por evento</w:t>
      </w:r>
    </w:p>
    <w:p>
      <w:r>
        <w:t>El proceso integral deberá poder iniciarse por programación y, opcionalmente, por un evento; también deberá poder ser ejecutado manualmente de forma controlada para operación y demostración.</w:t>
      </w:r>
    </w:p>
    <w:p>
      <w:pPr>
        <w:pStyle w:val="IntenseQuote"/>
      </w:pPr>
      <w:r>
        <w:t>Prioridad: Alta.</w:t>
      </w:r>
    </w:p>
    <w:p>
      <w:r>
        <w:t>Criterio de aceptación: Existe una configuración de ejecución programada o de evento documentada y un comando reproducible para ejecución manual controlada.</w:t>
      </w:r>
    </w:p>
    <w:p>
      <w:pPr>
        <w:pStyle w:val="Heading1"/>
      </w:pPr>
      <w:r>
        <w:t>4. Requisitos no funcionales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Criterio verificable</w:t>
            </w:r>
          </w:p>
        </w:tc>
      </w:tr>
      <w:tr>
        <w:tc>
          <w:tcPr>
            <w:tcW w:type="dxa" w:w="3312"/>
            <w:vAlign w:val="top"/>
          </w:tcPr>
          <w:p>
            <w:r>
              <w:t>RNF-01</w:t>
            </w:r>
          </w:p>
        </w:tc>
        <w:tc>
          <w:tcPr>
            <w:tcW w:type="dxa" w:w="3312"/>
            <w:vAlign w:val="top"/>
          </w:tcPr>
          <w:p>
            <w:r>
              <w:t>Seguridad de secretos</w:t>
            </w:r>
          </w:p>
        </w:tc>
        <w:tc>
          <w:tcPr>
            <w:tcW w:type="dxa" w:w="3312"/>
            <w:vAlign w:val="top"/>
          </w:tcPr>
          <w:p>
            <w:r>
              <w:t>Las claves y cadenas de conexión se obtienen por variables de entorno o gestor de secretos; no aparecen en el repositorio.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RNF-02</w:t>
            </w:r>
          </w:p>
        </w:tc>
        <w:tc>
          <w:tcPr>
            <w:tcW w:type="dxa" w:w="3312"/>
            <w:vAlign w:val="top"/>
          </w:tcPr>
          <w:p>
            <w:r>
              <w:t>Aislamiento de datos</w:t>
            </w:r>
          </w:p>
        </w:tc>
        <w:tc>
          <w:tcPr>
            <w:tcW w:type="dxa" w:w="3312"/>
            <w:vAlign w:val="top"/>
          </w:tcPr>
          <w:p>
            <w:r>
              <w:t>Las operaciones de lectura y escritura se ejecutan dentro del contexto de una empresa; pruebas verifican ausencia de cruces.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RNF-03</w:t>
            </w:r>
          </w:p>
        </w:tc>
        <w:tc>
          <w:tcPr>
            <w:tcW w:type="dxa" w:w="3312"/>
            <w:vAlign w:val="top"/>
          </w:tcPr>
          <w:p>
            <w:r>
              <w:t>Trazabilidad</w:t>
            </w:r>
          </w:p>
        </w:tc>
        <w:tc>
          <w:tcPr>
            <w:tcW w:type="dxa" w:w="3312"/>
            <w:vAlign w:val="top"/>
          </w:tcPr>
          <w:p>
            <w:r>
              <w:t>Cada ejecución, transformación relevante, extracción IA y score conserva fecha, versión o referencia de origen.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RNF-04</w:t>
            </w:r>
          </w:p>
        </w:tc>
        <w:tc>
          <w:tcPr>
            <w:tcW w:type="dxa" w:w="3312"/>
            <w:vAlign w:val="top"/>
          </w:tcPr>
          <w:p>
            <w:r>
              <w:t>Explicabilidad</w:t>
            </w:r>
          </w:p>
        </w:tc>
        <w:tc>
          <w:tcPr>
            <w:tcW w:type="dxa" w:w="3312"/>
            <w:vAlign w:val="top"/>
          </w:tcPr>
          <w:p>
            <w:r>
              <w:t>El score expone factores y versión de la lógica aplicada; no se presenta como decisión opaca.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RNF-05</w:t>
            </w:r>
          </w:p>
        </w:tc>
        <w:tc>
          <w:tcPr>
            <w:tcW w:type="dxa" w:w="3312"/>
            <w:vAlign w:val="top"/>
          </w:tcPr>
          <w:p>
            <w:r>
              <w:t>Calidad de datos</w:t>
            </w:r>
          </w:p>
        </w:tc>
        <w:tc>
          <w:tcPr>
            <w:tcW w:type="dxa" w:w="3312"/>
            <w:vAlign w:val="top"/>
          </w:tcPr>
          <w:p>
            <w:r>
              <w:t>Registros inválidos, ambiguos o no normalizables se reportan y no deben convertirse silenciosamente en valores inventados.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RNF-06</w:t>
            </w:r>
          </w:p>
        </w:tc>
        <w:tc>
          <w:tcPr>
            <w:tcW w:type="dxa" w:w="3312"/>
            <w:vAlign w:val="top"/>
          </w:tcPr>
          <w:p>
            <w:r>
              <w:t>Confiabilidad</w:t>
            </w:r>
          </w:p>
        </w:tc>
        <w:tc>
          <w:tcPr>
            <w:tcW w:type="dxa" w:w="3312"/>
            <w:vAlign w:val="top"/>
          </w:tcPr>
          <w:p>
            <w:r>
              <w:t>El proceso registra errores por etapa y permite identificar registros fallidos sin impedir el análisis de los registros válidos cuando sea posible.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RNF-07</w:t>
            </w:r>
          </w:p>
        </w:tc>
        <w:tc>
          <w:tcPr>
            <w:tcW w:type="dxa" w:w="3312"/>
            <w:vAlign w:val="top"/>
          </w:tcPr>
          <w:p>
            <w:r>
              <w:t>Rendimiento</w:t>
            </w:r>
          </w:p>
        </w:tc>
        <w:tc>
          <w:tcPr>
            <w:tcW w:type="dxa" w:w="3312"/>
            <w:vAlign w:val="top"/>
          </w:tcPr>
          <w:p>
            <w:r>
              <w:t>La solución deberá ser adecuada para el volumen declarado de más de 3.000 leads mensuales. Los objetivos temporales precisos se definirán tras perfilar los archivos reales y el proveedor de IA.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RNF-08</w:t>
            </w:r>
          </w:p>
        </w:tc>
        <w:tc>
          <w:tcPr>
            <w:tcW w:type="dxa" w:w="3312"/>
            <w:vAlign w:val="top"/>
          </w:tcPr>
          <w:p>
            <w:r>
              <w:t>Usabilidad</w:t>
            </w:r>
          </w:p>
        </w:tc>
        <w:tc>
          <w:tcPr>
            <w:tcW w:type="dxa" w:w="3312"/>
            <w:vAlign w:val="top"/>
          </w:tcPr>
          <w:p>
            <w:r>
              <w:t>La cola diaria priorizada debe ser legible, ordenable y comprensible para un asesor sin consultar herramientas técnicas.</w:t>
            </w:r>
          </w:p>
        </w:tc>
      </w:tr>
      <w:tr>
        <w:tc>
          <w:tcPr>
            <w:tcW w:type="dxa" w:w="3312"/>
            <w:vAlign w:val="top"/>
          </w:tcPr>
          <w:p>
            <w:r>
              <w:t>RNF-09</w:t>
            </w:r>
          </w:p>
        </w:tc>
        <w:tc>
          <w:tcPr>
            <w:tcW w:type="dxa" w:w="3312"/>
            <w:vAlign w:val="top"/>
          </w:tcPr>
          <w:p>
            <w:r>
              <w:t>Mantenibilidad</w:t>
            </w:r>
          </w:p>
        </w:tc>
        <w:tc>
          <w:tcPr>
            <w:tcW w:type="dxa" w:w="3312"/>
            <w:vAlign w:val="top"/>
          </w:tcPr>
          <w:p>
            <w:r>
              <w:t>La solución debe separar responsabilidades, incluir pruebas de reglas críticas y documentar configuración, ejecución y decisiones.</w:t>
            </w:r>
          </w:p>
        </w:tc>
      </w:tr>
      <w:tr>
        <w:tc>
          <w:tcPr>
            <w:tcW w:type="dxa" w:w="3312"/>
            <w:vAlign w:val="top"/>
          </w:tcPr>
          <w:p>
            <w:r>
              <w:t>RNF-10</w:t>
            </w:r>
          </w:p>
        </w:tc>
        <w:tc>
          <w:tcPr>
            <w:tcW w:type="dxa" w:w="3312"/>
            <w:vAlign w:val="top"/>
          </w:tcPr>
          <w:p>
            <w:r>
              <w:t>Desplegabilidad</w:t>
            </w:r>
          </w:p>
        </w:tc>
        <w:tc>
          <w:tcPr>
            <w:tcW w:type="dxa" w:w="3312"/>
            <w:vAlign w:val="top"/>
          </w:tcPr>
          <w:p>
            <w:r>
              <w:t>Backend y frontend se podrán desplegar en entornos independientes y exponerse con URL pública.</w:t>
            </w:r>
          </w:p>
        </w:tc>
      </w:tr>
    </w:tbl>
    <w:p/>
    <w:p>
      <w:pPr>
        <w:pStyle w:val="Heading1"/>
      </w:pPr>
      <w:r>
        <w:t>5. Arquitectura de referencia</w:t>
      </w:r>
    </w:p>
    <w:p>
      <w:pPr>
        <w:pStyle w:val="Heading2"/>
      </w:pPr>
      <w:r>
        <w:t>5.1 Estilo arquitectónico</w:t>
      </w:r>
    </w:p>
    <w:p>
      <w:r>
        <w:t>Se recomienda una arquitectura modular por capas, con backend tipo monolito modular y API REST. Este enfoque minimiza complejidad para la primera versión, separa responsabilidades y permite extraer componentes si el volumen o la integración futura lo exige.</w:t>
      </w:r>
    </w:p>
    <w:p>
      <w:pPr>
        <w:pStyle w:val="Heading2"/>
      </w:pPr>
      <w:r>
        <w:t>5.2 Componentes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Capa / componente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Tecnología recomendada</w:t>
            </w:r>
          </w:p>
        </w:tc>
      </w:tr>
      <w:tr>
        <w:tc>
          <w:tcPr>
            <w:tcW w:type="dxa" w:w="3312"/>
            <w:vAlign w:val="top"/>
          </w:tcPr>
          <w:p>
            <w:r>
              <w:t>Fuentes de datos</w:t>
            </w:r>
          </w:p>
        </w:tc>
        <w:tc>
          <w:tcPr>
            <w:tcW w:type="dxa" w:w="3312"/>
            <w:vAlign w:val="top"/>
          </w:tcPr>
          <w:p>
            <w:r>
              <w:t>Proveen leads, conversaciones, catálogo, asesores e histórico.</w:t>
            </w:r>
          </w:p>
        </w:tc>
        <w:tc>
          <w:tcPr>
            <w:tcW w:type="dxa" w:w="3312"/>
            <w:vAlign w:val="top"/>
          </w:tcPr>
          <w:p>
            <w:r>
              <w:t>CSV / JSON</w:t>
            </w:r>
          </w:p>
        </w:tc>
      </w:tr>
      <w:tr>
        <w:tc>
          <w:tcPr>
            <w:tcW w:type="dxa" w:w="3312"/>
            <w:vAlign w:val="top"/>
          </w:tcPr>
          <w:p>
            <w:r>
              <w:t>Orquestador de pipeline</w:t>
            </w:r>
          </w:p>
        </w:tc>
        <w:tc>
          <w:tcPr>
            <w:tcW w:type="dxa" w:w="3312"/>
            <w:vAlign w:val="top"/>
          </w:tcPr>
          <w:p>
            <w:r>
              <w:t>Coordina ingesta, validación, transformación, IA, scoring y asignación.</w:t>
            </w:r>
          </w:p>
        </w:tc>
        <w:tc>
          <w:tcPr>
            <w:tcW w:type="dxa" w:w="3312"/>
            <w:vAlign w:val="top"/>
          </w:tcPr>
          <w:p>
            <w:r>
              <w:t>Python; ejecución CLI y scheduler</w:t>
            </w:r>
          </w:p>
        </w:tc>
      </w:tr>
      <w:tr>
        <w:tc>
          <w:tcPr>
            <w:tcW w:type="dxa" w:w="3312"/>
            <w:vAlign w:val="top"/>
          </w:tcPr>
          <w:p>
            <w:r>
              <w:t>Dominio de datos</w:t>
            </w:r>
          </w:p>
        </w:tc>
        <w:tc>
          <w:tcPr>
            <w:tcW w:type="dxa" w:w="3312"/>
            <w:vAlign w:val="top"/>
          </w:tcPr>
          <w:p>
            <w:r>
              <w:t>Normaliza, deduplica, aplica reglas de negocio y persiste trazabilidad.</w:t>
            </w:r>
          </w:p>
        </w:tc>
        <w:tc>
          <w:tcPr>
            <w:tcW w:type="dxa" w:w="3312"/>
            <w:vAlign w:val="top"/>
          </w:tcPr>
          <w:p>
            <w:r>
              <w:t>Python + SQLAlchemy</w:t>
            </w:r>
          </w:p>
        </w:tc>
      </w:tr>
      <w:tr>
        <w:tc>
          <w:tcPr>
            <w:tcW w:type="dxa" w:w="3312"/>
            <w:vAlign w:val="top"/>
          </w:tcPr>
          <w:p>
            <w:r>
              <w:t>Adaptador IA</w:t>
            </w:r>
          </w:p>
        </w:tc>
        <w:tc>
          <w:tcPr>
            <w:tcW w:type="dxa" w:w="3312"/>
            <w:vAlign w:val="top"/>
          </w:tcPr>
          <w:p>
            <w:r>
              <w:t>Envía conversaciones, valida salida estructurada y aplica fallback de reglas cuando sea necesario.</w:t>
            </w:r>
          </w:p>
        </w:tc>
        <w:tc>
          <w:tcPr>
            <w:tcW w:type="dxa" w:w="3312"/>
            <w:vAlign w:val="top"/>
          </w:tcPr>
          <w:p>
            <w:r>
              <w:t>Cliente de LLM + Pydantic</w:t>
            </w:r>
          </w:p>
        </w:tc>
      </w:tr>
      <w:tr>
        <w:tc>
          <w:tcPr>
            <w:tcW w:type="dxa" w:w="3312"/>
            <w:vAlign w:val="top"/>
          </w:tcPr>
          <w:p>
            <w:r>
              <w:t>PostgreSQL</w:t>
            </w:r>
          </w:p>
        </w:tc>
        <w:tc>
          <w:tcPr>
            <w:tcW w:type="dxa" w:w="3312"/>
            <w:vAlign w:val="top"/>
          </w:tcPr>
          <w:p>
            <w:r>
              <w:t>Almacena origen, entidades consolidadas, resultados, asignaciones y auditoría.</w:t>
            </w:r>
          </w:p>
        </w:tc>
        <w:tc>
          <w:tcPr>
            <w:tcW w:type="dxa" w:w="3312"/>
            <w:vAlign w:val="top"/>
          </w:tcPr>
          <w:p>
            <w:r>
              <w:t>PostgreSQL</w:t>
            </w:r>
          </w:p>
        </w:tc>
      </w:tr>
      <w:tr>
        <w:tc>
          <w:tcPr>
            <w:tcW w:type="dxa" w:w="3312"/>
            <w:vAlign w:val="top"/>
          </w:tcPr>
          <w:p>
            <w:r>
              <w:t>API</w:t>
            </w:r>
          </w:p>
        </w:tc>
        <w:tc>
          <w:tcPr>
            <w:tcW w:type="dxa" w:w="3312"/>
            <w:vAlign w:val="top"/>
          </w:tcPr>
          <w:p>
            <w:r>
              <w:t>Expone datos para interfaz y aplica autorización/segregación.</w:t>
            </w:r>
          </w:p>
        </w:tc>
        <w:tc>
          <w:tcPr>
            <w:tcW w:type="dxa" w:w="3312"/>
            <w:vAlign w:val="top"/>
          </w:tcPr>
          <w:p>
            <w:r>
              <w:t>FastAPI</w:t>
            </w:r>
          </w:p>
        </w:tc>
      </w:tr>
      <w:tr>
        <w:tc>
          <w:tcPr>
            <w:tcW w:type="dxa" w:w="3312"/>
            <w:vAlign w:val="top"/>
          </w:tcPr>
          <w:p>
            <w:r>
              <w:t>Frontend</w:t>
            </w:r>
          </w:p>
        </w:tc>
        <w:tc>
          <w:tcPr>
            <w:tcW w:type="dxa" w:w="3312"/>
            <w:vAlign w:val="top"/>
          </w:tcPr>
          <w:p>
            <w:r>
              <w:t>Muestra la cola diaria y validación de score.</w:t>
            </w:r>
          </w:p>
        </w:tc>
        <w:tc>
          <w:tcPr>
            <w:tcW w:type="dxa" w:w="3312"/>
            <w:vAlign w:val="top"/>
          </w:tcPr>
          <w:p>
            <w:r>
              <w:t>Streamlit para MVP; React/Next.js si se requiere UI más compleja</w:t>
            </w:r>
          </w:p>
        </w:tc>
      </w:tr>
      <w:tr>
        <w:tc>
          <w:tcPr>
            <w:tcW w:type="dxa" w:w="3312"/>
            <w:vAlign w:val="top"/>
          </w:tcPr>
          <w:p>
            <w:r>
              <w:t>Automatización</w:t>
            </w:r>
          </w:p>
        </w:tc>
        <w:tc>
          <w:tcPr>
            <w:tcW w:type="dxa" w:w="3312"/>
            <w:vAlign w:val="top"/>
          </w:tcPr>
          <w:p>
            <w:r>
              <w:t>Dispara proceso diario o por evento.</w:t>
            </w:r>
          </w:p>
        </w:tc>
        <w:tc>
          <w:tcPr>
            <w:tcW w:type="dxa" w:w="3312"/>
            <w:vAlign w:val="top"/>
          </w:tcPr>
          <w:p>
            <w:r>
              <w:t>GitHub Actions, scheduler de plataforma o servicio de jobs</w:t>
            </w:r>
          </w:p>
        </w:tc>
      </w:tr>
    </w:tbl>
    <w:p/>
    <w:p>
      <w:pPr>
        <w:pStyle w:val="Heading2"/>
      </w:pPr>
      <w:r>
        <w:t>5.3 Flujo principal</w:t>
      </w:r>
    </w:p>
    <w:p>
      <w:r>
        <w:t>1. El orquestador inicia y registra una nueva ejecución.</w:t>
      </w:r>
    </w:p>
    <w:p>
      <w:r>
        <w:t>2. Se validan y cargan las fuentes a una zona de origen trazable.</w:t>
      </w:r>
    </w:p>
    <w:p>
      <w:r>
        <w:t>3. Se normalizan datos y se consolidan duplicados por empresa.</w:t>
      </w:r>
    </w:p>
    <w:p>
      <w:r>
        <w:t>4. Se asocian conversaciones y el adaptador IA genera extracción estructurada validada.</w:t>
      </w:r>
    </w:p>
    <w:p>
      <w:r>
        <w:t>5. Se calcula el score, temperatura y razones por lead.</w:t>
      </w:r>
    </w:p>
    <w:p>
      <w:r>
        <w:t>6. Se asignan leads priorizados respetando capacidad diaria.</w:t>
      </w:r>
    </w:p>
    <w:p>
      <w:r>
        <w:t>7. API y frontend consultan resultados segregados por empresa.</w:t>
      </w:r>
    </w:p>
    <w:p>
      <w:r>
        <w:t>8. Se publican métricas de ejecución y validación histórica.</w:t>
      </w:r>
    </w:p>
    <w:p>
      <w:pPr>
        <w:pStyle w:val="Heading2"/>
      </w:pPr>
      <w:r>
        <w:t>5.4 Decisión de frontend</w:t>
      </w:r>
    </w:p>
    <w:p>
      <w:r>
        <w:t>Para la primera versión se recomienda Streamlit por velocidad de entrega, capacidad de construir tablas, filtros y métricas sin un frontend complejo. Si se requiere autenticación avanzada, experiencia de usuario más rica o escalamiento de interfaz, el frontend puede evolucionar a React/Next.js consumiendo la misma API sin modificar el dominio.</w:t>
      </w:r>
    </w:p>
    <w:p>
      <w:pPr>
        <w:pStyle w:val="Heading1"/>
      </w:pPr>
      <w:r>
        <w:t>6. Patrones de diseño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Patrón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Aplicación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Beneficio</w:t>
            </w:r>
          </w:p>
        </w:tc>
      </w:tr>
      <w:tr>
        <w:tc>
          <w:tcPr>
            <w:tcW w:type="dxa" w:w="3312"/>
            <w:vAlign w:val="top"/>
          </w:tcPr>
          <w:p>
            <w:r>
              <w:t>Arquitectura hexagonal / puertos y adaptadores</w:t>
            </w:r>
          </w:p>
        </w:tc>
        <w:tc>
          <w:tcPr>
            <w:tcW w:type="dxa" w:w="3312"/>
            <w:vAlign w:val="top"/>
          </w:tcPr>
          <w:p>
            <w:r>
              <w:t>El dominio de normalización, score y asignación define interfaces; CSV/JSON, PostgreSQL, LLM y scheduler son adaptadores.</w:t>
            </w:r>
          </w:p>
        </w:tc>
        <w:tc>
          <w:tcPr>
            <w:tcW w:type="dxa" w:w="3312"/>
            <w:vAlign w:val="top"/>
          </w:tcPr>
          <w:p>
            <w:r>
              <w:t>Pruebas sencillas y sustitución de proveedores sin contaminar reglas de negocio.</w:t>
            </w:r>
          </w:p>
        </w:tc>
      </w:tr>
      <w:tr>
        <w:tc>
          <w:tcPr>
            <w:tcW w:type="dxa" w:w="3312"/>
            <w:vAlign w:val="top"/>
          </w:tcPr>
          <w:p>
            <w:r>
              <w:t>Repository</w:t>
            </w:r>
          </w:p>
        </w:tc>
        <w:tc>
          <w:tcPr>
            <w:tcW w:type="dxa" w:w="3312"/>
            <w:vAlign w:val="top"/>
          </w:tcPr>
          <w:p>
            <w:r>
              <w:t>Encapsula consultas y persistencia de leads, asignaciones, ejecuciones y resultados IA.</w:t>
            </w:r>
          </w:p>
        </w:tc>
        <w:tc>
          <w:tcPr>
            <w:tcW w:type="dxa" w:w="3312"/>
            <w:vAlign w:val="top"/>
          </w:tcPr>
          <w:p>
            <w:r>
              <w:t>Evita SQL disperso y facilita pruebas.</w:t>
            </w:r>
          </w:p>
        </w:tc>
      </w:tr>
      <w:tr>
        <w:tc>
          <w:tcPr>
            <w:tcW w:type="dxa" w:w="3312"/>
            <w:vAlign w:val="top"/>
          </w:tcPr>
          <w:p>
            <w:r>
              <w:t>Service Layer</w:t>
            </w:r>
          </w:p>
        </w:tc>
        <w:tc>
          <w:tcPr>
            <w:tcW w:type="dxa" w:w="3312"/>
            <w:vAlign w:val="top"/>
          </w:tcPr>
          <w:p>
            <w:r>
              <w:t>Centraliza casos de uso: procesar pipeline, deduplicar, enriquecer, puntuar y asignar.</w:t>
            </w:r>
          </w:p>
        </w:tc>
        <w:tc>
          <w:tcPr>
            <w:tcW w:type="dxa" w:w="3312"/>
            <w:vAlign w:val="top"/>
          </w:tcPr>
          <w:p>
            <w:r>
              <w:t>Orquesta reglas sin acoplarlas a API o UI.</w:t>
            </w:r>
          </w:p>
        </w:tc>
      </w:tr>
      <w:tr>
        <w:tc>
          <w:tcPr>
            <w:tcW w:type="dxa" w:w="3312"/>
            <w:vAlign w:val="top"/>
          </w:tcPr>
          <w:p>
            <w:r>
              <w:t>Strategy</w:t>
            </w:r>
          </w:p>
        </w:tc>
        <w:tc>
          <w:tcPr>
            <w:tcW w:type="dxa" w:w="3312"/>
            <w:vAlign w:val="top"/>
          </w:tcPr>
          <w:p>
            <w:r>
              <w:t>Permite seleccionar una estrategia de deduplicación o scoring por versión/configuración.</w:t>
            </w:r>
          </w:p>
        </w:tc>
        <w:tc>
          <w:tcPr>
            <w:tcW w:type="dxa" w:w="3312"/>
            <w:vAlign w:val="top"/>
          </w:tcPr>
          <w:p>
            <w:r>
              <w:t>Evolución controlada y comparación de reglas.</w:t>
            </w:r>
          </w:p>
        </w:tc>
      </w:tr>
      <w:tr>
        <w:tc>
          <w:tcPr>
            <w:tcW w:type="dxa" w:w="3312"/>
            <w:vAlign w:val="top"/>
          </w:tcPr>
          <w:p>
            <w:r>
              <w:t>Factory / Adapter</w:t>
            </w:r>
          </w:p>
        </w:tc>
        <w:tc>
          <w:tcPr>
            <w:tcW w:type="dxa" w:w="3312"/>
            <w:vAlign w:val="top"/>
          </w:tcPr>
          <w:p>
            <w:r>
              <w:t>Construye el cliente del proveedor IA y adapta su respuesta al contrato interno.</w:t>
            </w:r>
          </w:p>
        </w:tc>
        <w:tc>
          <w:tcPr>
            <w:tcW w:type="dxa" w:w="3312"/>
            <w:vAlign w:val="top"/>
          </w:tcPr>
          <w:p>
            <w:r>
              <w:t>Reduce dependencia directa del proveedor de IA.</w:t>
            </w:r>
          </w:p>
        </w:tc>
      </w:tr>
      <w:tr>
        <w:tc>
          <w:tcPr>
            <w:tcW w:type="dxa" w:w="3312"/>
            <w:vAlign w:val="top"/>
          </w:tcPr>
          <w:p>
            <w:r>
              <w:t>DTO / Schema validation</w:t>
            </w:r>
          </w:p>
        </w:tc>
        <w:tc>
          <w:tcPr>
            <w:tcW w:type="dxa" w:w="3312"/>
            <w:vAlign w:val="top"/>
          </w:tcPr>
          <w:p>
            <w:r>
              <w:t>Define contratos de API y respuesta IA con esquemas tipados.</w:t>
            </w:r>
          </w:p>
        </w:tc>
        <w:tc>
          <w:tcPr>
            <w:tcW w:type="dxa" w:w="3312"/>
            <w:vAlign w:val="top"/>
          </w:tcPr>
          <w:p>
            <w:r>
              <w:t>Previene datos malformados y clarifica interfaces.</w:t>
            </w:r>
          </w:p>
        </w:tc>
      </w:tr>
      <w:tr>
        <w:tc>
          <w:tcPr>
            <w:tcW w:type="dxa" w:w="3312"/>
            <w:vAlign w:val="top"/>
          </w:tcPr>
          <w:p>
            <w:r>
              <w:t>Pipeline / Chain of Responsibility</w:t>
            </w:r>
          </w:p>
        </w:tc>
        <w:tc>
          <w:tcPr>
            <w:tcW w:type="dxa" w:w="3312"/>
            <w:vAlign w:val="top"/>
          </w:tcPr>
          <w:p>
            <w:r>
              <w:t>Modela etapas secuenciales del proceso con resultados y errores por etapa.</w:t>
            </w:r>
          </w:p>
        </w:tc>
        <w:tc>
          <w:tcPr>
            <w:tcW w:type="dxa" w:w="3312"/>
            <w:vAlign w:val="top"/>
          </w:tcPr>
          <w:p>
            <w:r>
              <w:t>Trazabilidad, reintentos y mantenimiento.</w:t>
            </w:r>
          </w:p>
        </w:tc>
      </w:tr>
      <w:tr>
        <w:tc>
          <w:tcPr>
            <w:tcW w:type="dxa" w:w="3312"/>
            <w:vAlign w:val="top"/>
          </w:tcPr>
          <w:p>
            <w:r>
              <w:t>Outbox o registro de ejecución (evolutivo)</w:t>
            </w:r>
          </w:p>
        </w:tc>
        <w:tc>
          <w:tcPr>
            <w:tcW w:type="dxa" w:w="3312"/>
            <w:vAlign w:val="top"/>
          </w:tcPr>
          <w:p>
            <w:r>
              <w:t>Registra eventos/estado de ejecución para integraciones futuras.</w:t>
            </w:r>
          </w:p>
        </w:tc>
        <w:tc>
          <w:tcPr>
            <w:tcW w:type="dxa" w:w="3312"/>
            <w:vAlign w:val="top"/>
          </w:tcPr>
          <w:p>
            <w:r>
              <w:t>Confiabilidad si se agregan CRM, webhooks o colas.</w:t>
            </w:r>
          </w:p>
        </w:tc>
      </w:tr>
    </w:tbl>
    <w:p/>
    <w:p>
      <w:pPr>
        <w:pStyle w:val="Heading1"/>
      </w:pPr>
      <w:r>
        <w:t>7. Modelo de datos conceptual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Propósito y relaciones principales</w:t>
            </w:r>
          </w:p>
        </w:tc>
      </w:tr>
      <w:tr>
        <w:tc>
          <w:tcPr>
            <w:tcW w:type="dxa" w:w="4968"/>
            <w:vAlign w:val="top"/>
          </w:tcPr>
          <w:p>
            <w:r>
              <w:t>Empresa</w:t>
            </w:r>
          </w:p>
        </w:tc>
        <w:tc>
          <w:tcPr>
            <w:tcW w:type="dxa" w:w="4968"/>
            <w:vAlign w:val="top"/>
          </w:tcPr>
          <w:p>
            <w:r>
              <w:t>Propietaria lógica de datos; agrupa puntos de venta, asesores y leads.</w:t>
            </w:r>
          </w:p>
        </w:tc>
      </w:tr>
      <w:tr>
        <w:tc>
          <w:tcPr>
            <w:tcW w:type="dxa" w:w="4968"/>
            <w:vAlign w:val="top"/>
          </w:tcPr>
          <w:p>
            <w:r>
              <w:t>Punto de venta</w:t>
            </w:r>
          </w:p>
        </w:tc>
        <w:tc>
          <w:tcPr>
            <w:tcW w:type="dxa" w:w="4968"/>
            <w:vAlign w:val="top"/>
          </w:tcPr>
          <w:p>
            <w:r>
              <w:t>Unidad operativa de una empresa; concentra asesores y leads cuando aplique.</w:t>
            </w:r>
          </w:p>
        </w:tc>
      </w:tr>
      <w:tr>
        <w:tc>
          <w:tcPr>
            <w:tcW w:type="dxa" w:w="4968"/>
            <w:vAlign w:val="top"/>
          </w:tcPr>
          <w:p>
            <w:r>
              <w:t>Asesor</w:t>
            </w:r>
          </w:p>
        </w:tc>
        <w:tc>
          <w:tcPr>
            <w:tcW w:type="dxa" w:w="4968"/>
            <w:vAlign w:val="top"/>
          </w:tcPr>
          <w:p>
            <w:r>
              <w:t>Tiene empresa/punto de venta y capacidad diaria.</w:t>
            </w:r>
          </w:p>
        </w:tc>
      </w:tr>
      <w:tr>
        <w:tc>
          <w:tcPr>
            <w:tcW w:type="dxa" w:w="4968"/>
            <w:vAlign w:val="top"/>
          </w:tcPr>
          <w:p>
            <w:r>
              <w:t>Lead de origen</w:t>
            </w:r>
          </w:p>
        </w:tc>
        <w:tc>
          <w:tcPr>
            <w:tcW w:type="dxa" w:w="4968"/>
            <w:vAlign w:val="top"/>
          </w:tcPr>
          <w:p>
            <w:r>
              <w:t>Representa el registro recibido desde archivo o canal, sin perder valor fuente.</w:t>
            </w:r>
          </w:p>
        </w:tc>
      </w:tr>
      <w:tr>
        <w:tc>
          <w:tcPr>
            <w:tcW w:type="dxa" w:w="4968"/>
            <w:vAlign w:val="top"/>
          </w:tcPr>
          <w:p>
            <w:r>
              <w:t>Lead consolidado</w:t>
            </w:r>
          </w:p>
        </w:tc>
        <w:tc>
          <w:tcPr>
            <w:tcW w:type="dxa" w:w="4968"/>
            <w:vAlign w:val="top"/>
          </w:tcPr>
          <w:p>
            <w:r>
              <w:t>Representa el lead canónico normalizado y su contexto de empresa.</w:t>
            </w:r>
          </w:p>
        </w:tc>
      </w:tr>
      <w:tr>
        <w:tc>
          <w:tcPr>
            <w:tcW w:type="dxa" w:w="4968"/>
            <w:vAlign w:val="top"/>
          </w:tcPr>
          <w:p>
            <w:r>
              <w:t>Relación de duplicado</w:t>
            </w:r>
          </w:p>
        </w:tc>
        <w:tc>
          <w:tcPr>
            <w:tcW w:type="dxa" w:w="4968"/>
            <w:vAlign w:val="top"/>
          </w:tcPr>
          <w:p>
            <w:r>
              <w:t>Relaciona un lead de origen o consolidado con su lead canónico y regla aplicada.</w:t>
            </w:r>
          </w:p>
        </w:tc>
      </w:tr>
      <w:tr>
        <w:tc>
          <w:tcPr>
            <w:tcW w:type="dxa" w:w="4968"/>
            <w:vAlign w:val="top"/>
          </w:tcPr>
          <w:p>
            <w:r>
              <w:t>Conversación</w:t>
            </w:r>
          </w:p>
        </w:tc>
        <w:tc>
          <w:tcPr>
            <w:tcW w:type="dxa" w:w="4968"/>
            <w:vAlign w:val="top"/>
          </w:tcPr>
          <w:p>
            <w:r>
              <w:t>Contiene mensajes asociados al lead, fuente y metadatos temporales.</w:t>
            </w:r>
          </w:p>
        </w:tc>
      </w:tr>
      <w:tr>
        <w:tc>
          <w:tcPr>
            <w:tcW w:type="dxa" w:w="4968"/>
            <w:vAlign w:val="top"/>
          </w:tcPr>
          <w:p>
            <w:r>
              <w:t>Enriquecimiento IA</w:t>
            </w:r>
          </w:p>
        </w:tc>
        <w:tc>
          <w:tcPr>
            <w:tcW w:type="dxa" w:w="4968"/>
            <w:vAlign w:val="top"/>
          </w:tcPr>
          <w:p>
            <w:r>
              <w:t>Resultado estructurado de una conversación, confianza, fecha y respuesta trazable.</w:t>
            </w:r>
          </w:p>
        </w:tc>
      </w:tr>
      <w:tr>
        <w:tc>
          <w:tcPr>
            <w:tcW w:type="dxa" w:w="4968"/>
            <w:vAlign w:val="top"/>
          </w:tcPr>
          <w:p>
            <w:r>
              <w:t>Score de lead</w:t>
            </w:r>
          </w:p>
        </w:tc>
        <w:tc>
          <w:tcPr>
            <w:tcW w:type="dxa" w:w="4968"/>
            <w:vAlign w:val="top"/>
          </w:tcPr>
          <w:p>
            <w:r>
              <w:t>Score, temperatura, razones, versión y fecha de cálculo.</w:t>
            </w:r>
          </w:p>
        </w:tc>
      </w:tr>
      <w:tr>
        <w:tc>
          <w:tcPr>
            <w:tcW w:type="dxa" w:w="4968"/>
            <w:vAlign w:val="top"/>
          </w:tcPr>
          <w:p>
            <w:r>
              <w:t>Asignación diaria</w:t>
            </w:r>
          </w:p>
        </w:tc>
        <w:tc>
          <w:tcPr>
            <w:tcW w:type="dxa" w:w="4968"/>
            <w:vAlign w:val="top"/>
          </w:tcPr>
          <w:p>
            <w:r>
              <w:t>Vincula lead, asesor, fecha y prioridad de la cola.</w:t>
            </w:r>
          </w:p>
        </w:tc>
      </w:tr>
      <w:tr>
        <w:tc>
          <w:tcPr>
            <w:tcW w:type="dxa" w:w="4968"/>
            <w:vAlign w:val="top"/>
          </w:tcPr>
          <w:p>
            <w:r>
              <w:t>Histórico de cierre</w:t>
            </w:r>
          </w:p>
        </w:tc>
        <w:tc>
          <w:tcPr>
            <w:tcW w:type="dxa" w:w="4968"/>
            <w:vAlign w:val="top"/>
          </w:tcPr>
          <w:p>
            <w:r>
              <w:t>Datos usados para validar la lógica de priorización.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Ejecución de pipeline</w:t>
            </w:r>
          </w:p>
        </w:tc>
        <w:tc>
          <w:tcPr>
            <w:tcW w:type="dxa" w:w="4968"/>
            <w:vAlign w:val="top"/>
          </w:tcPr>
          <w:p>
            <w:r>
              <w:t>Audita inicio, fin, estado, contadores y errores de cada corrida.</w:t>
            </w:r>
          </w:p>
        </w:tc>
      </w:tr>
    </w:tbl>
    <w:p/>
    <w:p>
      <w:pPr>
        <w:pStyle w:val="IntenseQuote"/>
      </w:pPr>
      <w:r>
        <w:t>Regla de integridad: toda entidad comercialmente sensible deberá incluir o derivar inequívocamente el identificador de empresa. Las claves y restricciones definitivas se establecerán después de inspeccionar las columnas reales de las fuentes.</w:t>
      </w:r>
    </w:p>
    <w:p>
      <w:pPr>
        <w:pStyle w:val="Heading1"/>
      </w:pPr>
      <w:r>
        <w:t>8. Trazabilidad y criterios de aceptación</w:t>
      </w:r>
    </w:p>
    <w:p>
      <w:pPr>
        <w:pStyle w:val="Heading2"/>
      </w:pPr>
      <w:r>
        <w:t>8.1 Matriz de cobertura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Objetivo de negocio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Requisitos asociados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Evidencia esperada</w:t>
            </w:r>
          </w:p>
        </w:tc>
      </w:tr>
      <w:tr>
        <w:tc>
          <w:tcPr>
            <w:tcW w:type="dxa" w:w="3312"/>
            <w:vAlign w:val="top"/>
          </w:tcPr>
          <w:p>
            <w:r>
              <w:t>Consolidar información dispersa</w:t>
            </w:r>
          </w:p>
        </w:tc>
        <w:tc>
          <w:tcPr>
            <w:tcW w:type="dxa" w:w="3312"/>
            <w:vAlign w:val="top"/>
          </w:tcPr>
          <w:p>
            <w:r>
              <w:t>RF-01 a RF-05; RNF-03 y RNF-05</w:t>
            </w:r>
          </w:p>
        </w:tc>
        <w:tc>
          <w:tcPr>
            <w:tcW w:type="dxa" w:w="3312"/>
            <w:vAlign w:val="top"/>
          </w:tcPr>
          <w:p>
            <w:r>
              <w:t>Ejecución automatizada, datos originales y normalizados, reporte de duplicados.</w:t>
            </w:r>
          </w:p>
        </w:tc>
      </w:tr>
      <w:tr>
        <w:tc>
          <w:tcPr>
            <w:tcW w:type="dxa" w:w="3312"/>
            <w:vAlign w:val="top"/>
          </w:tcPr>
          <w:p>
            <w:r>
              <w:t>Aprovechar conversaciones</w:t>
            </w:r>
          </w:p>
        </w:tc>
        <w:tc>
          <w:tcPr>
            <w:tcW w:type="dxa" w:w="3312"/>
            <w:vAlign w:val="top"/>
          </w:tcPr>
          <w:p>
            <w:r>
              <w:t>RF-05 a RF-07; RNF-03 y RNF-04</w:t>
            </w:r>
          </w:p>
        </w:tc>
        <w:tc>
          <w:tcPr>
            <w:tcW w:type="dxa" w:w="3312"/>
            <w:vAlign w:val="top"/>
          </w:tcPr>
          <w:p>
            <w:r>
              <w:t>Extracciones estructuradas, validación de esquema y trazabilidad.</w:t>
            </w:r>
          </w:p>
        </w:tc>
      </w:tr>
      <w:tr>
        <w:tc>
          <w:tcPr>
            <w:tcW w:type="dxa" w:w="3312"/>
            <w:vAlign w:val="top"/>
          </w:tcPr>
          <w:p>
            <w:r>
              <w:t>Priorizar atención comercial</w:t>
            </w:r>
          </w:p>
        </w:tc>
        <w:tc>
          <w:tcPr>
            <w:tcW w:type="dxa" w:w="3312"/>
            <w:vAlign w:val="top"/>
          </w:tcPr>
          <w:p>
            <w:r>
              <w:t>RF-08 a RF-11; RNF-04</w:t>
            </w:r>
          </w:p>
        </w:tc>
        <w:tc>
          <w:tcPr>
            <w:tcW w:type="dxa" w:w="3312"/>
            <w:vAlign w:val="top"/>
          </w:tcPr>
          <w:p>
            <w:r>
              <w:t>Cola ordenada, razones de score, capacidad respetada y validación histórica.</w:t>
            </w:r>
          </w:p>
        </w:tc>
      </w:tr>
      <w:tr>
        <w:tc>
          <w:tcPr>
            <w:tcW w:type="dxa" w:w="3312"/>
            <w:vAlign w:val="top"/>
          </w:tcPr>
          <w:p>
            <w:r>
              <w:t>Evitar cruces de datos</w:t>
            </w:r>
          </w:p>
        </w:tc>
        <w:tc>
          <w:tcPr>
            <w:tcW w:type="dxa" w:w="3312"/>
            <w:vAlign w:val="top"/>
          </w:tcPr>
          <w:p>
            <w:r>
              <w:t>RF-04 y RF-14; RNF-01 y RNF-02</w:t>
            </w:r>
          </w:p>
        </w:tc>
        <w:tc>
          <w:tcPr>
            <w:tcW w:type="dxa" w:w="3312"/>
            <w:vAlign w:val="top"/>
          </w:tcPr>
          <w:p>
            <w:r>
              <w:t>Pruebas de aislamiento y filtros aplicados en backend.</w:t>
            </w:r>
          </w:p>
        </w:tc>
      </w:tr>
      <w:tr>
        <w:tc>
          <w:tcPr>
            <w:tcW w:type="dxa" w:w="3312"/>
            <w:vAlign w:val="top"/>
          </w:tcPr>
          <w:p>
            <w:r>
              <w:t>Operar y demostrar solución</w:t>
            </w:r>
          </w:p>
        </w:tc>
        <w:tc>
          <w:tcPr>
            <w:tcW w:type="dxa" w:w="3312"/>
            <w:vAlign w:val="top"/>
          </w:tcPr>
          <w:p>
            <w:r>
              <w:t>RF-12 a RF-16; RNF-08 a RNF-10</w:t>
            </w:r>
          </w:p>
        </w:tc>
        <w:tc>
          <w:tcPr>
            <w:tcW w:type="dxa" w:w="3312"/>
            <w:vAlign w:val="top"/>
          </w:tcPr>
          <w:p>
            <w:r>
              <w:t>URL pública, API, documentación, workflow programado y README.</w:t>
            </w:r>
          </w:p>
        </w:tc>
      </w:tr>
    </w:tbl>
    <w:p/>
    <w:p>
      <w:pPr>
        <w:pStyle w:val="Heading2"/>
      </w:pPr>
      <w:r>
        <w:t>8.2 Condiciones de aceptación de la primera versión</w:t>
      </w:r>
    </w:p>
    <w:p>
      <w:pPr>
        <w:pStyle w:val="ListBullet"/>
      </w:pPr>
      <w:r>
        <w:t>El pipeline se ejecuta de punta a punta sin notebook manual y deja evidencia auditable en PostgreSQL.</w:t>
      </w:r>
    </w:p>
    <w:p>
      <w:pPr>
        <w:pStyle w:val="ListBullet"/>
      </w:pPr>
      <w:r>
        <w:t>Se puede consultar una cola diaria por asesor, priorizada y limitada por su capacidad.</w:t>
      </w:r>
    </w:p>
    <w:p>
      <w:pPr>
        <w:pStyle w:val="ListBullet"/>
      </w:pPr>
      <w:r>
        <w:t>Los campos extraídos de conversaciones aparecen como estructura validada; no se presentan inferencias no sustentadas como hechos.</w:t>
      </w:r>
    </w:p>
    <w:p>
      <w:pPr>
        <w:pStyle w:val="ListBullet"/>
      </w:pPr>
      <w:r>
        <w:t>La lógica del score y sus factores son visibles y se contrasta con el histórico disponible.</w:t>
      </w:r>
    </w:p>
    <w:p>
      <w:pPr>
        <w:pStyle w:val="ListBullet"/>
      </w:pPr>
      <w:r>
        <w:t>No se exponen secretos y no se cruzan datos entre comercializadoras.</w:t>
      </w:r>
    </w:p>
    <w:p>
      <w:pPr>
        <w:pStyle w:val="ListBullet"/>
      </w:pPr>
      <w:r>
        <w:t>La solución está documentada y accesible mediante repositorio y URL pública, de acuerdo con los entregables del enunciado.</w:t>
      </w:r>
    </w:p>
    <w:p>
      <w:pPr>
        <w:pStyle w:val="Heading1"/>
      </w:pPr>
      <w:r>
        <w:t>Apéndice A. Glosario ampliado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968"/>
            <w:vAlign w:val="top"/>
          </w:tcPr>
          <w:p>
            <w:r>
              <w:t>Canal</w:t>
            </w:r>
          </w:p>
        </w:tc>
        <w:tc>
          <w:tcPr>
            <w:tcW w:type="dxa" w:w="4968"/>
            <w:vAlign w:val="top"/>
          </w:tcPr>
          <w:p>
            <w:r>
              <w:t>Origen comercial del lead, como WhatsApp, Meta o web.</w:t>
            </w:r>
          </w:p>
        </w:tc>
      </w:tr>
      <w:tr>
        <w:tc>
          <w:tcPr>
            <w:tcW w:type="dxa" w:w="4968"/>
            <w:vAlign w:val="top"/>
          </w:tcPr>
          <w:p>
            <w:r>
              <w:t>Capacidad diaria</w:t>
            </w:r>
          </w:p>
        </w:tc>
        <w:tc>
          <w:tcPr>
            <w:tcW w:type="dxa" w:w="4968"/>
            <w:vAlign w:val="top"/>
          </w:tcPr>
          <w:p>
            <w:r>
              <w:t>Máximo de leads que un asesor puede recibir en una fecha.</w:t>
            </w:r>
          </w:p>
        </w:tc>
      </w:tr>
      <w:tr>
        <w:tc>
          <w:tcPr>
            <w:tcW w:type="dxa" w:w="4968"/>
            <w:vAlign w:val="top"/>
          </w:tcPr>
          <w:p>
            <w:r>
              <w:t>Confianza de extracción</w:t>
            </w:r>
          </w:p>
        </w:tc>
        <w:tc>
          <w:tcPr>
            <w:tcW w:type="dxa" w:w="4968"/>
            <w:vAlign w:val="top"/>
          </w:tcPr>
          <w:p>
            <w:r>
              <w:t>Indicador de la seguridad de una extracción basada en evidencia textual; no equivale a certeza de compra.</w:t>
            </w:r>
          </w:p>
        </w:tc>
      </w:tr>
      <w:tr>
        <w:tc>
          <w:tcPr>
            <w:tcW w:type="dxa" w:w="4968"/>
            <w:vAlign w:val="top"/>
          </w:tcPr>
          <w:p>
            <w:r>
              <w:t>Urgencia operativa</w:t>
            </w:r>
          </w:p>
        </w:tc>
        <w:tc>
          <w:tcPr>
            <w:tcW w:type="dxa" w:w="4968"/>
            <w:vAlign w:val="top"/>
          </w:tcPr>
          <w:p>
            <w:r>
              <w:t>Necesidad de atención derivada, por ejemplo, de falta de primer contacto oportuno.</w:t>
            </w:r>
          </w:p>
        </w:tc>
      </w:tr>
      <w:tr>
        <w:tc>
          <w:tcPr>
            <w:tcW w:type="dxa" w:w="4968"/>
            <w:vAlign w:val="top"/>
          </w:tcPr>
          <w:p>
            <w:r>
              <w:t>Segregación</w:t>
            </w:r>
          </w:p>
        </w:tc>
        <w:tc>
          <w:tcPr>
            <w:tcW w:type="dxa" w:w="4968"/>
            <w:vAlign w:val="top"/>
          </w:tcPr>
          <w:p>
            <w:r>
              <w:t>Restricción técnica para impedir acceso o consolidación de datos entre empresas.</w:t>
            </w:r>
          </w:p>
        </w:tc>
      </w:tr>
    </w:tbl>
    <w:p/>
    <w:p>
      <w:pPr>
        <w:pStyle w:val="Heading1"/>
      </w:pPr>
      <w:r>
        <w:t>Apéndice B. Supuestos y decisiones abiertas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Supuesto o decisión pendiente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Impacto / acción requerida</w:t>
            </w:r>
          </w:p>
        </w:tc>
      </w:tr>
      <w:tr>
        <w:tc>
          <w:tcPr>
            <w:tcW w:type="dxa" w:w="3312"/>
            <w:vAlign w:val="top"/>
          </w:tcPr>
          <w:p>
            <w:r>
              <w:t>S-01</w:t>
            </w:r>
          </w:p>
        </w:tc>
        <w:tc>
          <w:tcPr>
            <w:tcW w:type="dxa" w:w="3312"/>
            <w:vAlign w:val="top"/>
          </w:tcPr>
          <w:p>
            <w:r>
              <w:t>Las columnas y llaves de relación exactas de los cinco archivos no se incluyeron en el enunciado revisado.</w:t>
            </w:r>
          </w:p>
        </w:tc>
        <w:tc>
          <w:tcPr>
            <w:tcW w:type="dxa" w:w="3312"/>
            <w:vAlign w:val="top"/>
          </w:tcPr>
          <w:p>
            <w:r>
              <w:t>Inspeccionar los archivos antes de fijar el esquema físico y las reglas de asociación.</w:t>
            </w:r>
          </w:p>
        </w:tc>
      </w:tr>
      <w:tr>
        <w:tc>
          <w:tcPr>
            <w:tcW w:type="dxa" w:w="3312"/>
            <w:vAlign w:val="top"/>
          </w:tcPr>
          <w:p>
            <w:r>
              <w:t>S-02</w:t>
            </w:r>
          </w:p>
        </w:tc>
        <w:tc>
          <w:tcPr>
            <w:tcW w:type="dxa" w:w="3312"/>
            <w:vAlign w:val="top"/>
          </w:tcPr>
          <w:p>
            <w:r>
              <w:t>La autenticación y la forma de determinar la empresa autorizada no están definidas.</w:t>
            </w:r>
          </w:p>
        </w:tc>
        <w:tc>
          <w:tcPr>
            <w:tcW w:type="dxa" w:w="3312"/>
            <w:vAlign w:val="top"/>
          </w:tcPr>
          <w:p>
            <w:r>
              <w:t>Para producción, implementar autenticación y autorización; en demo, documentar claramente el mecanismo de contexto de empresa.</w:t>
            </w:r>
          </w:p>
        </w:tc>
      </w:tr>
      <w:tr>
        <w:tc>
          <w:tcPr>
            <w:tcW w:type="dxa" w:w="3312"/>
            <w:vAlign w:val="top"/>
          </w:tcPr>
          <w:p>
            <w:r>
              <w:t>S-03</w:t>
            </w:r>
          </w:p>
        </w:tc>
        <w:tc>
          <w:tcPr>
            <w:tcW w:type="dxa" w:w="3312"/>
            <w:vAlign w:val="top"/>
          </w:tcPr>
          <w:p>
            <w:r>
              <w:t>Los pesos, rangos y umbrales del score no están especificados.</w:t>
            </w:r>
          </w:p>
        </w:tc>
        <w:tc>
          <w:tcPr>
            <w:tcW w:type="dxa" w:w="3312"/>
            <w:vAlign w:val="top"/>
          </w:tcPr>
          <w:p>
            <w:r>
              <w:t>Definir versión inicial basada en negocio y calibrarla con el histórico; guardar versión de reglas.</w:t>
            </w:r>
          </w:p>
        </w:tc>
      </w:tr>
      <w:tr>
        <w:tc>
          <w:tcPr>
            <w:tcW w:type="dxa" w:w="3312"/>
            <w:vAlign w:val="top"/>
          </w:tcPr>
          <w:p>
            <w:r>
              <w:t>S-04</w:t>
            </w:r>
          </w:p>
        </w:tc>
        <w:tc>
          <w:tcPr>
            <w:tcW w:type="dxa" w:w="3312"/>
            <w:vAlign w:val="top"/>
          </w:tcPr>
          <w:p>
            <w:r>
              <w:t>El proveedor de IA no está definido.</w:t>
            </w:r>
          </w:p>
        </w:tc>
        <w:tc>
          <w:tcPr>
            <w:tcW w:type="dxa" w:w="3312"/>
            <w:vAlign w:val="top"/>
          </w:tcPr>
          <w:p>
            <w:r>
              <w:t>Usar un adaptador y esquema de salida estructurada para evitar dependencia de proveedor.</w:t>
            </w:r>
          </w:p>
        </w:tc>
      </w:tr>
      <w:tr>
        <w:tc>
          <w:tcPr>
            <w:tcW w:type="dxa" w:w="3312"/>
            <w:vAlign w:val="top"/>
          </w:tcPr>
          <w:p>
            <w:r>
              <w:t>S-05</w:t>
            </w:r>
          </w:p>
        </w:tc>
        <w:tc>
          <w:tcPr>
            <w:tcW w:type="dxa" w:w="3312"/>
            <w:vAlign w:val="top"/>
          </w:tcPr>
          <w:p>
            <w:r>
              <w:t>No se define frecuencia exacta de ejecución ni SLA.</w:t>
            </w:r>
          </w:p>
        </w:tc>
        <w:tc>
          <w:tcPr>
            <w:tcW w:type="dxa" w:w="3312"/>
            <w:vAlign w:val="top"/>
          </w:tcPr>
          <w:p>
            <w:r>
              <w:t>Configurar una frecuencia diaria inicial y acordar horario/SLA con negocio.</w:t>
            </w:r>
          </w:p>
        </w:tc>
      </w:tr>
      <w:tr>
        <w:tc>
          <w:tcPr>
            <w:tcW w:type="dxa" w:w="3312"/>
            <w:vAlign w:val="top"/>
          </w:tcPr>
          <w:p>
            <w:r>
              <w:t>S-06</w:t>
            </w:r>
          </w:p>
        </w:tc>
        <w:tc>
          <w:tcPr>
            <w:tcW w:type="dxa" w:w="3312"/>
            <w:vAlign w:val="top"/>
          </w:tcPr>
          <w:p>
            <w:r>
              <w:t>No se define política de retención de conversaciones y datos personales.</w:t>
            </w:r>
          </w:p>
        </w:tc>
        <w:tc>
          <w:tcPr>
            <w:tcW w:type="dxa" w:w="3312"/>
            <w:vAlign w:val="top"/>
          </w:tcPr>
          <w:p>
            <w:r>
              <w:t>Acordar requisitos de privacidad, retención y controles de acceso antes de producción.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Documento de trabajo — IEEE 830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Motos y Motores del Norte S.A.S.  |  Especificación de Requisitos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