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7E68D9" w:rsidRPr="007E68D9" w:rsidRDefault="007E68D9" w:rsidP="007E68D9">
      <w:pPr>
        <w:jc w:val="both"/>
        <w:rPr>
          <w:lang w:val="en-US"/>
        </w:rPr>
      </w:pPr>
      <w:r w:rsidRPr="007E68D9">
        <w:rPr>
          <w:lang w:val="en-US"/>
        </w:rPr>
        <w:t>Võ Minh Thịnh</w:t>
      </w:r>
    </w:p>
    <w:p w:rsidR="007E68D9" w:rsidRPr="007E68D9" w:rsidRDefault="007E68D9" w:rsidP="007E68D9">
      <w:pPr>
        <w:jc w:val="both"/>
        <w:rPr>
          <w:lang w:val="en-US"/>
        </w:rPr>
      </w:pPr>
      <w:r w:rsidRPr="007E68D9">
        <w:rPr>
          <w:lang w:val="en-US"/>
        </w:rPr>
        <w:t>22280087</w:t>
      </w:r>
    </w:p>
    <w:p w:rsidR="007E68D9" w:rsidRPr="007E68D9" w:rsidRDefault="007E68D9" w:rsidP="007E68D9">
      <w:pPr>
        <w:jc w:val="both"/>
        <w:rPr>
          <w:lang w:val="en-US"/>
        </w:rPr>
      </w:pPr>
      <w:r w:rsidRPr="007E68D9">
        <w:rPr>
          <w:lang w:val="en-US"/>
        </w:rPr>
        <w:t>22KDL</w:t>
      </w:r>
    </w:p>
    <w:p w:rsidR="007E68D9" w:rsidRPr="007E68D9" w:rsidRDefault="007E68D9" w:rsidP="007E68D9">
      <w:pPr>
        <w:jc w:val="both"/>
        <w:rPr>
          <w:lang w:val="en-US"/>
        </w:rPr>
      </w:pPr>
      <w:r w:rsidRPr="007E68D9">
        <w:rPr>
          <w:lang w:val="en-US"/>
        </w:rPr>
        <w:t>Bài tập lý thuyết lần 3</w:t>
      </w:r>
    </w:p>
    <w:p w:rsidR="007E68D9" w:rsidRPr="007E68D9" w:rsidRDefault="007E68D9" w:rsidP="007E68D9">
      <w:pPr>
        <w:jc w:val="both"/>
        <w:rPr>
          <w:b/>
          <w:bCs/>
          <w:lang w:val="en-US"/>
        </w:rPr>
      </w:pPr>
    </w:p>
    <w:p w:rsidR="00C11DBA" w:rsidRPr="007E68D9" w:rsidRDefault="007E68D9" w:rsidP="007E68D9">
      <w:pPr>
        <w:jc w:val="both"/>
        <w:rPr>
          <w:b/>
          <w:bCs/>
          <w:color w:val="000000"/>
        </w:rPr>
      </w:pPr>
      <w:r w:rsidRPr="007E68D9">
        <w:rPr>
          <w:b/>
          <w:bCs/>
          <w:lang w:val="en-US"/>
        </w:rPr>
        <w:t xml:space="preserve">Câu 1: </w:t>
      </w:r>
      <w:r w:rsidRPr="007E68D9">
        <w:rPr>
          <w:b/>
          <w:bCs/>
          <w:color w:val="000000"/>
        </w:rPr>
        <w:t>Tìm một ví dụ cho mệnh đề sau “Không phải mọi công thức đều có thể biểu diễn dưới dạng câu Horn”</w:t>
      </w:r>
    </w:p>
    <w:p w:rsidR="007E68D9" w:rsidRPr="007E68D9" w:rsidRDefault="007E68D9" w:rsidP="007E68D9">
      <w:pPr>
        <w:jc w:val="both"/>
        <w:rPr>
          <w:color w:val="000000"/>
        </w:rPr>
      </w:pPr>
    </w:p>
    <w:p w:rsidR="007E68D9" w:rsidRPr="007E68D9" w:rsidRDefault="007E68D9" w:rsidP="007E68D9">
      <w:pPr>
        <w:jc w:val="both"/>
        <w:rPr>
          <w:b/>
          <w:bCs/>
          <w:color w:val="000000"/>
        </w:rPr>
      </w:pPr>
      <w:r w:rsidRPr="007E68D9">
        <w:rPr>
          <w:b/>
          <w:bCs/>
          <w:color w:val="000000"/>
        </w:rPr>
        <w:t>Câu Horn là câu có dạng:</w:t>
      </w:r>
    </w:p>
    <w:p w:rsidR="007E68D9" w:rsidRPr="007E68D9" w:rsidRDefault="007E68D9" w:rsidP="007E68D9">
      <w:pPr>
        <w:pStyle w:val="ListParagraph"/>
        <w:numPr>
          <w:ilvl w:val="0"/>
          <w:numId w:val="2"/>
        </w:numPr>
        <w:jc w:val="both"/>
        <w:rPr>
          <w:color w:val="000000"/>
        </w:rPr>
      </w:pPr>
      <w:r w:rsidRPr="007E68D9">
        <w:rPr>
          <w:color w:val="000000"/>
        </w:rPr>
        <w:t>Câu tuyển chỉ chứa nhiều nhất một literal dương</w:t>
      </w:r>
    </w:p>
    <w:p w:rsidR="007E68D9" w:rsidRPr="007E68D9" w:rsidRDefault="007E68D9" w:rsidP="007E68D9">
      <w:pPr>
        <w:pStyle w:val="ListParagraph"/>
        <w:numPr>
          <w:ilvl w:val="0"/>
          <w:numId w:val="2"/>
        </w:numPr>
        <w:jc w:val="both"/>
        <w:rPr>
          <w:color w:val="000000"/>
        </w:rPr>
      </w:pPr>
      <w:r w:rsidRPr="007E68D9">
        <w:rPr>
          <w:i/>
          <w:iCs/>
          <w:color w:val="000000"/>
        </w:rPr>
        <w:t>A</w:t>
      </w:r>
      <w:r w:rsidRPr="007E68D9">
        <w:rPr>
          <w:i/>
          <w:iCs/>
          <w:color w:val="000000"/>
          <w:vertAlign w:val="subscript"/>
        </w:rPr>
        <w:t>1</w:t>
      </w:r>
      <w:r w:rsidRPr="007E68D9">
        <w:rPr>
          <w:rFonts w:ascii="Cambria Math" w:hAnsi="Cambria Math" w:cs="Cambria Math"/>
          <w:i/>
          <w:iCs/>
          <w:color w:val="000000"/>
        </w:rPr>
        <w:t>⋀</w:t>
      </w:r>
      <w:r w:rsidRPr="007E68D9">
        <w:rPr>
          <w:i/>
          <w:iCs/>
          <w:color w:val="000000"/>
        </w:rPr>
        <w:t xml:space="preserve"> …</w:t>
      </w:r>
      <w:r w:rsidRPr="007E68D9">
        <w:rPr>
          <w:rFonts w:ascii="Cambria Math" w:hAnsi="Cambria Math" w:cs="Cambria Math"/>
          <w:i/>
          <w:iCs/>
          <w:color w:val="000000"/>
        </w:rPr>
        <w:t>⋀</w:t>
      </w:r>
      <w:r w:rsidRPr="007E68D9">
        <w:rPr>
          <w:i/>
          <w:iCs/>
          <w:color w:val="000000"/>
        </w:rPr>
        <w:t xml:space="preserve"> A</w:t>
      </w:r>
      <w:r w:rsidRPr="007E68D9">
        <w:rPr>
          <w:i/>
          <w:iCs/>
          <w:color w:val="000000"/>
          <w:vertAlign w:val="subscript"/>
        </w:rPr>
        <w:t>n</w:t>
      </w:r>
      <w:r w:rsidRPr="007E68D9">
        <w:rPr>
          <w:rFonts w:ascii="Segoe UI Symbol" w:hAnsi="Segoe UI Symbol" w:cs="Segoe UI Symbol"/>
          <w:i/>
          <w:iCs/>
          <w:color w:val="000000"/>
        </w:rPr>
        <w:t>➞</w:t>
      </w:r>
      <w:r w:rsidRPr="007E68D9">
        <w:rPr>
          <w:i/>
          <w:iCs/>
          <w:color w:val="000000"/>
        </w:rPr>
        <w:t xml:space="preserve"> B</w:t>
      </w:r>
      <w:r w:rsidRPr="007E68D9">
        <w:rPr>
          <w:color w:val="000000"/>
        </w:rPr>
        <w:t>. Trong đó A</w:t>
      </w:r>
      <w:r w:rsidRPr="007E68D9">
        <w:rPr>
          <w:color w:val="000000"/>
          <w:vertAlign w:val="subscript"/>
        </w:rPr>
        <w:t>i</w:t>
      </w:r>
      <w:r w:rsidRPr="007E68D9">
        <w:rPr>
          <w:color w:val="000000"/>
        </w:rPr>
        <w:t xml:space="preserve"> là các điều kiện, </w:t>
      </w:r>
      <w:r w:rsidRPr="007E68D9">
        <w:rPr>
          <w:i/>
          <w:iCs/>
          <w:color w:val="000000"/>
        </w:rPr>
        <w:t>B</w:t>
      </w:r>
      <w:r w:rsidRPr="007E68D9">
        <w:rPr>
          <w:color w:val="000000"/>
        </w:rPr>
        <w:t xml:space="preserve"> là kết luận</w:t>
      </w:r>
    </w:p>
    <w:p w:rsidR="007E68D9" w:rsidRPr="008744CE" w:rsidRDefault="007E68D9" w:rsidP="007E68D9">
      <w:pPr>
        <w:jc w:val="both"/>
        <w:rPr>
          <w:color w:val="000000"/>
        </w:rPr>
      </w:pPr>
    </w:p>
    <w:p w:rsidR="007E68D9" w:rsidRPr="008744CE" w:rsidRDefault="007E68D9" w:rsidP="007E68D9">
      <w:pPr>
        <w:jc w:val="both"/>
        <w:rPr>
          <w:color w:val="000000"/>
        </w:rPr>
      </w:pPr>
      <w:r w:rsidRPr="008744CE">
        <w:rPr>
          <w:color w:val="000000"/>
        </w:rPr>
        <w:t xml:space="preserve">Xét mệnh đề (vd): </w:t>
      </w:r>
    </w:p>
    <w:p w:rsidR="007E68D9" w:rsidRPr="008744CE" w:rsidRDefault="007E68D9" w:rsidP="007E68D9">
      <w:pPr>
        <w:jc w:val="center"/>
        <w:rPr>
          <w:rStyle w:val="mclose"/>
          <w:i/>
          <w:iCs/>
        </w:rPr>
      </w:pPr>
      <w:r w:rsidRPr="008744CE">
        <w:rPr>
          <w:rStyle w:val="mord"/>
          <w:rFonts w:ascii="Cambria Math" w:hAnsi="Cambria Math" w:cs="Cambria Math"/>
          <w:i/>
          <w:iCs/>
        </w:rPr>
        <w:t>∀</w:t>
      </w:r>
      <w:r w:rsidRPr="008744CE">
        <w:rPr>
          <w:rStyle w:val="mord"/>
          <w:i/>
          <w:iCs/>
        </w:rPr>
        <w:t>X</w:t>
      </w:r>
      <w:r w:rsidRPr="008744CE">
        <w:rPr>
          <w:rStyle w:val="mpunct"/>
          <w:i/>
          <w:iCs/>
        </w:rPr>
        <w:t>,</w:t>
      </w:r>
      <w:r w:rsidRPr="008744CE">
        <w:rPr>
          <w:rStyle w:val="mord"/>
          <w:i/>
          <w:iCs/>
        </w:rPr>
        <w:t>¬p</w:t>
      </w:r>
      <w:r w:rsidRPr="008744CE">
        <w:rPr>
          <w:rStyle w:val="mopen"/>
          <w:i/>
          <w:iCs/>
        </w:rPr>
        <w:t>(</w:t>
      </w:r>
      <w:r w:rsidRPr="008744CE">
        <w:rPr>
          <w:rStyle w:val="mord"/>
          <w:i/>
          <w:iCs/>
        </w:rPr>
        <w:t>X</w:t>
      </w:r>
      <w:r w:rsidRPr="008744CE">
        <w:rPr>
          <w:rStyle w:val="mpunct"/>
          <w:i/>
          <w:iCs/>
        </w:rPr>
        <w:t>,</w:t>
      </w:r>
      <w:r w:rsidRPr="008744CE">
        <w:rPr>
          <w:rStyle w:val="mord"/>
          <w:i/>
          <w:iCs/>
        </w:rPr>
        <w:t>a</w:t>
      </w:r>
      <w:r w:rsidRPr="008744CE">
        <w:rPr>
          <w:rStyle w:val="mclose"/>
          <w:i/>
          <w:iCs/>
        </w:rPr>
        <w:t>)</w:t>
      </w:r>
    </w:p>
    <w:p w:rsidR="007E68D9" w:rsidRPr="007E68D9" w:rsidRDefault="007E68D9" w:rsidP="007E68D9">
      <w:r w:rsidRPr="007E68D9">
        <w:rPr>
          <w:rStyle w:val="mclose"/>
        </w:rPr>
        <w:t xml:space="preserve">Mệnh đề </w:t>
      </w:r>
      <w:r w:rsidRPr="007E68D9">
        <w:rPr>
          <w:rFonts w:ascii="Cambria Math" w:hAnsi="Cambria Math" w:cs="Cambria Math"/>
          <w:i/>
          <w:iCs/>
        </w:rPr>
        <w:t>∀</w:t>
      </w:r>
      <w:r w:rsidRPr="007E68D9">
        <w:rPr>
          <w:i/>
          <w:iCs/>
        </w:rPr>
        <w:t>X,¬p(X,a)</w:t>
      </w:r>
      <w:r w:rsidRPr="007E68D9">
        <w:t xml:space="preserve"> có nghĩa là với mọi giá trị của X, p(X, a) là sai. Ta có thể viết lại thành: </w:t>
      </w:r>
    </w:p>
    <w:p w:rsidR="007E68D9" w:rsidRPr="007E68D9" w:rsidRDefault="007E68D9" w:rsidP="007E68D9">
      <w:pPr>
        <w:jc w:val="center"/>
        <w:rPr>
          <w:i/>
          <w:iCs/>
        </w:rPr>
      </w:pPr>
      <w:r w:rsidRPr="007E68D9">
        <w:rPr>
          <w:i/>
          <w:iCs/>
        </w:rPr>
        <w:t>¬p(X,a)</w:t>
      </w:r>
    </w:p>
    <w:p w:rsidR="007E68D9" w:rsidRPr="007E68D9" w:rsidRDefault="007E68D9" w:rsidP="007E68D9">
      <w:pPr>
        <w:jc w:val="both"/>
      </w:pPr>
    </w:p>
    <w:p w:rsidR="007E68D9" w:rsidRPr="007E68D9" w:rsidRDefault="007E68D9" w:rsidP="007E68D9">
      <w:pPr>
        <w:jc w:val="both"/>
        <w:rPr>
          <w:color w:val="000000"/>
        </w:rPr>
      </w:pPr>
      <w:r w:rsidRPr="007E68D9">
        <w:t xml:space="preserve">Mệnh đề </w:t>
      </w:r>
      <w:r w:rsidRPr="007E68D9">
        <w:rPr>
          <w:rStyle w:val="katex-mathml"/>
          <w:i/>
          <w:iCs/>
        </w:rPr>
        <w:t>¬p(X,a)</w:t>
      </w:r>
      <w:r w:rsidRPr="007E68D9">
        <w:rPr>
          <w:rStyle w:val="katex-mathml"/>
        </w:rPr>
        <w:t xml:space="preserve"> </w:t>
      </w:r>
      <w:r w:rsidRPr="007E68D9">
        <w:t xml:space="preserve">là một </w:t>
      </w:r>
      <w:r w:rsidRPr="007E68D9">
        <w:rPr>
          <w:rStyle w:val="Strong"/>
          <w:b w:val="0"/>
          <w:bCs w:val="0"/>
        </w:rPr>
        <w:t>hạng thức âm</w:t>
      </w:r>
      <w:r w:rsidRPr="007E68D9">
        <w:t xml:space="preserve"> vì nó là phủ định của một biến nguyên tử </w:t>
      </w:r>
      <w:r w:rsidRPr="007E68D9">
        <w:rPr>
          <w:rStyle w:val="katex-mathml"/>
        </w:rPr>
        <w:t>p(X,a)p</w:t>
      </w:r>
      <w:r w:rsidRPr="007E68D9">
        <w:t>. Để mệnh đề này có thể đưa về dạng Horn, ta cần biến đổi sao cho nó thỏa mãn điều kiện của câu Horn</w:t>
      </w:r>
    </w:p>
    <w:p w:rsidR="007E68D9" w:rsidRPr="007E68D9" w:rsidRDefault="007E68D9" w:rsidP="007E68D9">
      <w:pPr>
        <w:jc w:val="both"/>
        <w:rPr>
          <w:color w:val="000000"/>
        </w:rPr>
      </w:pPr>
    </w:p>
    <w:p w:rsidR="007E68D9" w:rsidRPr="007E68D9" w:rsidRDefault="007E68D9" w:rsidP="007E68D9">
      <w:pPr>
        <w:jc w:val="both"/>
        <w:rPr>
          <w:color w:val="000000"/>
        </w:rPr>
      </w:pPr>
      <w:r w:rsidRPr="007E68D9">
        <w:rPr>
          <w:rStyle w:val="Strong"/>
        </w:rPr>
        <w:t>Câu Horn đơn</w:t>
      </w:r>
      <w:r w:rsidRPr="007E68D9">
        <w:t xml:space="preserve">: Yêu cầu chỉ chứa một hạng thức dương, ví dụ </w:t>
      </w:r>
      <w:r w:rsidRPr="007E68D9">
        <w:rPr>
          <w:rStyle w:val="katex-mathml"/>
          <w:i/>
          <w:iCs/>
        </w:rPr>
        <w:t>p(X)</w:t>
      </w:r>
      <w:r w:rsidRPr="007E68D9">
        <w:t xml:space="preserve">. Tuy nhiên, ở đây ta có </w:t>
      </w:r>
      <w:r w:rsidRPr="007E68D9">
        <w:rPr>
          <w:rStyle w:val="katex-mathml"/>
          <w:i/>
          <w:iCs/>
        </w:rPr>
        <w:t>¬p(X,a</w:t>
      </w:r>
      <w:r w:rsidRPr="007E68D9">
        <w:rPr>
          <w:rStyle w:val="mclose"/>
          <w:i/>
          <w:iCs/>
        </w:rPr>
        <w:t>)</w:t>
      </w:r>
      <w:r w:rsidRPr="007E68D9">
        <w:rPr>
          <w:i/>
          <w:iCs/>
        </w:rPr>
        <w:t>,</w:t>
      </w:r>
      <w:r w:rsidRPr="007E68D9">
        <w:t xml:space="preserve"> là một hạng thức âm, không thỏa mãn yêu cầu này.</w:t>
      </w:r>
    </w:p>
    <w:p w:rsidR="007E68D9" w:rsidRPr="007E68D9" w:rsidRDefault="007E68D9" w:rsidP="007E68D9">
      <w:pPr>
        <w:jc w:val="both"/>
        <w:rPr>
          <w:color w:val="000000"/>
        </w:rPr>
      </w:pPr>
    </w:p>
    <w:p w:rsidR="007E68D9" w:rsidRPr="007E68D9" w:rsidRDefault="007E68D9" w:rsidP="007E68D9">
      <w:pPr>
        <w:jc w:val="both"/>
        <w:rPr>
          <w:color w:val="000000"/>
        </w:rPr>
      </w:pPr>
      <w:r w:rsidRPr="007E68D9">
        <w:rPr>
          <w:rStyle w:val="Strong"/>
        </w:rPr>
        <w:t>Câu Horn điều kiện</w:t>
      </w:r>
      <w:r w:rsidRPr="007E68D9">
        <w:t xml:space="preserve">: Yêu cầu một số hạng thức âm ở vế trái và một hạng thức dương ở vế phải. Mệnh đề </w:t>
      </w:r>
      <w:r w:rsidRPr="007E68D9">
        <w:rPr>
          <w:rStyle w:val="katex-mathml"/>
          <w:i/>
          <w:iCs/>
        </w:rPr>
        <w:t>¬p(X,a)</w:t>
      </w:r>
      <w:r w:rsidRPr="007E68D9">
        <w:rPr>
          <w:rStyle w:val="katex-mathml"/>
        </w:rPr>
        <w:t xml:space="preserve"> </w:t>
      </w:r>
      <w:r w:rsidRPr="007E68D9">
        <w:t>không có vế trái và cũng không có hạng thức dương nào, nên không thỏa mãn dạng này.</w:t>
      </w:r>
    </w:p>
    <w:p w:rsidR="007E68D9" w:rsidRPr="007E68D9" w:rsidRDefault="007E68D9" w:rsidP="007E68D9">
      <w:pPr>
        <w:jc w:val="both"/>
        <w:rPr>
          <w:lang w:val="en-US"/>
        </w:rPr>
      </w:pPr>
    </w:p>
    <w:p w:rsidR="007E68D9" w:rsidRPr="007E68D9" w:rsidRDefault="007E68D9" w:rsidP="007E68D9">
      <w:pPr>
        <w:jc w:val="both"/>
      </w:pPr>
      <w:r w:rsidRPr="007E68D9">
        <w:rPr>
          <w:rStyle w:val="Strong"/>
        </w:rPr>
        <w:t>Câu Horn vô lý</w:t>
      </w:r>
      <w:r w:rsidRPr="007E68D9">
        <w:t xml:space="preserve">: Chỉ chứa các hạng thức âm và kết quả là mâu thuẫn </w:t>
      </w:r>
      <w:r w:rsidRPr="007E68D9">
        <w:rPr>
          <w:i/>
          <w:iCs/>
        </w:rPr>
        <w:t>(</w:t>
      </w:r>
      <w:r w:rsidRPr="007E68D9">
        <w:rPr>
          <w:rStyle w:val="katex-mathml"/>
          <w:rFonts w:ascii="Cambria Math" w:hAnsi="Cambria Math" w:cs="Cambria Math"/>
          <w:i/>
          <w:iCs/>
        </w:rPr>
        <w:t>⊥</w:t>
      </w:r>
      <w:r w:rsidRPr="007E68D9">
        <w:rPr>
          <w:i/>
          <w:iCs/>
        </w:rPr>
        <w:t>)</w:t>
      </w:r>
      <w:r w:rsidRPr="007E68D9">
        <w:t>. Tuy nhiên</w:t>
      </w:r>
      <w:r w:rsidRPr="007E68D9">
        <w:rPr>
          <w:i/>
          <w:iCs/>
        </w:rPr>
        <w:t xml:space="preserve">, </w:t>
      </w:r>
      <w:r w:rsidRPr="007E68D9">
        <w:rPr>
          <w:rStyle w:val="katex-mathml"/>
          <w:i/>
          <w:iCs/>
        </w:rPr>
        <w:t>¬p(X,a)</w:t>
      </w:r>
      <w:r w:rsidRPr="007E68D9">
        <w:t xml:space="preserve"> không biểu diễn mâu thuẫn; nó chỉ là phủ định của một quan hệ </w:t>
      </w:r>
      <w:r w:rsidRPr="007E68D9">
        <w:rPr>
          <w:rStyle w:val="katex-mathml"/>
          <w:i/>
          <w:iCs/>
        </w:rPr>
        <w:t>p(X,a)</w:t>
      </w:r>
      <w:r w:rsidRPr="007E68D9">
        <w:rPr>
          <w:i/>
          <w:iCs/>
        </w:rPr>
        <w:t>,</w:t>
      </w:r>
      <w:r w:rsidRPr="007E68D9">
        <w:t xml:space="preserve"> chứ không dẫn đến mâu thuẫn nội tại.</w:t>
      </w:r>
    </w:p>
    <w:p w:rsidR="007E68D9" w:rsidRPr="007E68D9" w:rsidRDefault="007E68D9" w:rsidP="007E68D9">
      <w:pPr>
        <w:jc w:val="both"/>
      </w:pPr>
    </w:p>
    <w:p w:rsidR="007E68D9" w:rsidRPr="007E68D9" w:rsidRDefault="007E68D9" w:rsidP="007E68D9">
      <w:pPr>
        <w:jc w:val="both"/>
      </w:pPr>
      <w:r w:rsidRPr="007E68D9">
        <w:t xml:space="preserve">Kết luận: Mệnh đề </w:t>
      </w:r>
      <w:r w:rsidRPr="007E68D9">
        <w:rPr>
          <w:rStyle w:val="katex-mathml"/>
          <w:rFonts w:ascii="Cambria Math" w:hAnsi="Cambria Math" w:cs="Cambria Math"/>
          <w:i/>
          <w:iCs/>
        </w:rPr>
        <w:t>∀</w:t>
      </w:r>
      <w:r w:rsidRPr="007E68D9">
        <w:rPr>
          <w:rStyle w:val="katex-mathml"/>
          <w:i/>
          <w:iCs/>
        </w:rPr>
        <w:t>X,¬p(X,a</w:t>
      </w:r>
      <w:r w:rsidRPr="007E68D9">
        <w:rPr>
          <w:rStyle w:val="mclose"/>
          <w:i/>
          <w:iCs/>
        </w:rPr>
        <w:t>)</w:t>
      </w:r>
      <w:r w:rsidRPr="007E68D9">
        <w:t xml:space="preserve"> không thể đưa về dạng Horn</w:t>
      </w:r>
    </w:p>
    <w:p w:rsidR="007E68D9" w:rsidRPr="007E68D9" w:rsidRDefault="007E68D9" w:rsidP="007E68D9">
      <w:pPr>
        <w:jc w:val="both"/>
      </w:pPr>
    </w:p>
    <w:p w:rsidR="007E68D9" w:rsidRPr="007E68D9" w:rsidRDefault="007E68D9" w:rsidP="007E68D9">
      <w:pPr>
        <w:rPr>
          <w:b/>
          <w:bCs/>
          <w:color w:val="000000"/>
        </w:rPr>
      </w:pPr>
      <w:r w:rsidRPr="007E68D9">
        <w:rPr>
          <w:b/>
          <w:bCs/>
          <w:color w:val="000000"/>
        </w:rPr>
        <w:br/>
      </w:r>
    </w:p>
    <w:p w:rsidR="007E68D9" w:rsidRPr="007E68D9" w:rsidRDefault="007E68D9" w:rsidP="007E68D9">
      <w:pPr>
        <w:rPr>
          <w:b/>
          <w:bCs/>
          <w:color w:val="000000"/>
        </w:rPr>
      </w:pPr>
      <w:r w:rsidRPr="007E68D9">
        <w:rPr>
          <w:b/>
          <w:bCs/>
          <w:color w:val="000000"/>
        </w:rPr>
        <w:br w:type="page"/>
      </w:r>
      <w:r w:rsidRPr="007E68D9">
        <w:rPr>
          <w:b/>
          <w:bCs/>
          <w:color w:val="000000"/>
        </w:rPr>
        <w:lastRenderedPageBreak/>
        <w:t>Câu 2: Chứng minh luật phân giải là luật suy diễn tổng quát, bao gồm luật Modus Ponens, Modus Tollens, luật bắc cầu</w:t>
      </w:r>
    </w:p>
    <w:p w:rsidR="007E68D9" w:rsidRPr="007E68D9" w:rsidRDefault="007E68D9" w:rsidP="007E68D9">
      <w:pPr>
        <w:jc w:val="both"/>
        <w:rPr>
          <w:b/>
          <w:bCs/>
          <w:color w:val="000000"/>
        </w:rPr>
      </w:pPr>
    </w:p>
    <w:p w:rsidR="007E68D9" w:rsidRPr="007E68D9" w:rsidRDefault="007E68D9" w:rsidP="007E68D9">
      <w:pPr>
        <w:jc w:val="both"/>
      </w:pPr>
      <w:r w:rsidRPr="007E68D9">
        <w:rPr>
          <w:b/>
          <w:bCs/>
        </w:rPr>
        <w:t>Luật phân giải:</w:t>
      </w:r>
      <w:r w:rsidRPr="007E68D9">
        <w:t xml:space="preserve"> Giả sử có hai mệnh đề</w:t>
      </w:r>
      <w:r w:rsidRPr="007E68D9">
        <w:rPr>
          <w:i/>
          <w:iCs/>
        </w:rPr>
        <w:t xml:space="preserve">: </w:t>
      </w:r>
      <w:r w:rsidRPr="007E68D9">
        <w:rPr>
          <w:rStyle w:val="mord"/>
          <w:i/>
          <w:iCs/>
        </w:rPr>
        <w:t>A</w:t>
      </w:r>
      <w:r w:rsidRPr="007E68D9">
        <w:rPr>
          <w:rStyle w:val="mbin"/>
          <w:rFonts w:ascii="Cambria Math" w:hAnsi="Cambria Math" w:cs="Cambria Math"/>
          <w:i/>
          <w:iCs/>
        </w:rPr>
        <w:t>∨</w:t>
      </w:r>
      <w:r w:rsidRPr="007E68D9">
        <w:rPr>
          <w:rStyle w:val="mbin"/>
          <w:i/>
          <w:iCs/>
        </w:rPr>
        <w:t xml:space="preserve"> </w:t>
      </w:r>
      <w:r w:rsidRPr="007E68D9">
        <w:rPr>
          <w:rStyle w:val="mord"/>
          <w:i/>
          <w:iCs/>
        </w:rPr>
        <w:t>B</w:t>
      </w:r>
      <w:r w:rsidRPr="007E68D9">
        <w:rPr>
          <w:rStyle w:val="mord"/>
        </w:rPr>
        <w:t xml:space="preserve">,  </w:t>
      </w:r>
      <w:r w:rsidRPr="007E68D9">
        <w:rPr>
          <w:rStyle w:val="katex-mathml"/>
          <w:i/>
          <w:iCs/>
        </w:rPr>
        <w:t>¬B</w:t>
      </w:r>
      <w:r w:rsidRPr="007E68D9">
        <w:rPr>
          <w:rStyle w:val="katex-mathml"/>
          <w:rFonts w:ascii="Cambria Math" w:hAnsi="Cambria Math" w:cs="Cambria Math"/>
          <w:i/>
          <w:iCs/>
        </w:rPr>
        <w:t>∨</w:t>
      </w:r>
      <w:r w:rsidRPr="007E68D9">
        <w:rPr>
          <w:rStyle w:val="katex-mathml"/>
          <w:i/>
          <w:iCs/>
        </w:rPr>
        <w:t xml:space="preserve"> C</w:t>
      </w:r>
      <w:r w:rsidRPr="007E68D9">
        <w:rPr>
          <w:rStyle w:val="katex-mathml"/>
        </w:rPr>
        <w:t xml:space="preserve">. </w:t>
      </w:r>
      <w:r w:rsidRPr="007E68D9">
        <w:t xml:space="preserve">Luật phân giải cho phép ta suy ra </w:t>
      </w:r>
      <w:r w:rsidRPr="007E68D9">
        <w:rPr>
          <w:rStyle w:val="katex-mathml"/>
          <w:i/>
          <w:iCs/>
        </w:rPr>
        <w:t>A</w:t>
      </w:r>
      <w:r w:rsidRPr="007E68D9">
        <w:rPr>
          <w:rStyle w:val="katex-mathml"/>
          <w:rFonts w:ascii="Cambria Math" w:hAnsi="Cambria Math" w:cs="Cambria Math"/>
          <w:i/>
          <w:iCs/>
        </w:rPr>
        <w:t>∨</w:t>
      </w:r>
      <w:r w:rsidRPr="007E68D9">
        <w:rPr>
          <w:rStyle w:val="katex-mathml"/>
          <w:i/>
          <w:iCs/>
        </w:rPr>
        <w:t xml:space="preserve"> C</w:t>
      </w:r>
      <w:r w:rsidRPr="007E68D9">
        <w:t xml:space="preserve">. Ý tưởng của luật phân giải là loại bỏ các biến có mâu thuẫn để đi đến một kết luận mới. Trong trường hợp này, </w:t>
      </w:r>
      <w:r w:rsidRPr="007E68D9">
        <w:rPr>
          <w:rStyle w:val="katex-mathml"/>
          <w:i/>
          <w:iCs/>
        </w:rPr>
        <w:t>B</w:t>
      </w:r>
      <w:r w:rsidRPr="007E68D9">
        <w:rPr>
          <w:i/>
          <w:iCs/>
        </w:rPr>
        <w:t xml:space="preserve"> </w:t>
      </w:r>
      <w:r w:rsidRPr="007E68D9">
        <w:t xml:space="preserve">và </w:t>
      </w:r>
      <w:r w:rsidRPr="007E68D9">
        <w:rPr>
          <w:rStyle w:val="katex-mathml"/>
          <w:i/>
          <w:iCs/>
        </w:rPr>
        <w:t>¬B</w:t>
      </w:r>
      <w:r w:rsidRPr="007E68D9">
        <w:t xml:space="preserve"> mâu thuẫn, nên chúng ta có thể "loại bỏ" </w:t>
      </w:r>
      <w:r w:rsidRPr="007E68D9">
        <w:rPr>
          <w:rStyle w:val="katex-mathml"/>
          <w:i/>
          <w:iCs/>
        </w:rPr>
        <w:t>B</w:t>
      </w:r>
      <w:r w:rsidRPr="007E68D9">
        <w:t xml:space="preserve">, và kết quả chỉ còn lại </w:t>
      </w:r>
      <w:r w:rsidRPr="007E68D9">
        <w:rPr>
          <w:rStyle w:val="katex-mathml"/>
          <w:i/>
          <w:iCs/>
        </w:rPr>
        <w:t>A</w:t>
      </w:r>
      <w:r w:rsidRPr="007E68D9">
        <w:rPr>
          <w:rStyle w:val="katex-mathml"/>
          <w:rFonts w:ascii="Cambria Math" w:hAnsi="Cambria Math" w:cs="Cambria Math"/>
          <w:i/>
          <w:iCs/>
        </w:rPr>
        <w:t>∨</w:t>
      </w:r>
      <w:r w:rsidRPr="007E68D9">
        <w:rPr>
          <w:rStyle w:val="katex-mathml"/>
          <w:i/>
          <w:iCs/>
        </w:rPr>
        <w:t xml:space="preserve"> C</w:t>
      </w:r>
      <w:r w:rsidRPr="007E68D9">
        <w:t>.</w:t>
      </w:r>
    </w:p>
    <w:p w:rsidR="007E68D9" w:rsidRPr="007E68D9" w:rsidRDefault="007E68D9" w:rsidP="007E68D9">
      <w:pPr>
        <w:jc w:val="both"/>
        <w:rPr>
          <w:b/>
          <w:bCs/>
          <w:color w:val="000000"/>
        </w:rPr>
      </w:pPr>
    </w:p>
    <w:p w:rsidR="007E68D9" w:rsidRPr="007E68D9" w:rsidRDefault="007E68D9" w:rsidP="007E68D9">
      <w:pPr>
        <w:jc w:val="both"/>
        <w:rPr>
          <w:rFonts w:eastAsiaTheme="minorEastAsia"/>
          <w:b/>
          <w:bCs/>
          <w:kern w:val="2"/>
          <w:lang w:val="en-US"/>
          <w14:ligatures w14:val="standardContextual"/>
        </w:rPr>
      </w:pPr>
      <w:r w:rsidRPr="007E68D9">
        <w:rPr>
          <w:rFonts w:eastAsiaTheme="minorEastAsia"/>
          <w:b/>
          <w:bCs/>
          <w:lang w:val="en-US"/>
        </w:rPr>
        <w:t>Luật Modus Ponens (khẳng định):</w:t>
      </w:r>
      <w:r w:rsidRPr="007E68D9">
        <w:rPr>
          <w:rFonts w:eastAsiaTheme="minorEastAsia"/>
          <w:b/>
          <w:bCs/>
          <w:lang w:val="en-US"/>
        </w:rPr>
        <w:tab/>
        <w:t xml:space="preserve"> </w:t>
      </w:r>
      <m:oMath>
        <m:f>
          <m:fPr>
            <m:ctrlPr>
              <w:rPr>
                <w:rFonts w:ascii="Cambria Math" w:eastAsiaTheme="minorEastAsia" w:hAnsi="Cambria Math"/>
                <w:b/>
                <w:bCs/>
                <w:i/>
                <w:kern w:val="2"/>
                <w:lang w:val="en-US"/>
                <w14:ligatures w14:val="standardContextual"/>
              </w:rPr>
            </m:ctrlPr>
          </m:fPr>
          <m:num>
            <m:r>
              <m:rPr>
                <m:sty m:val="bi"/>
              </m:rPr>
              <w:rPr>
                <w:rFonts w:ascii="Cambria Math" w:eastAsiaTheme="minorEastAsia" w:hAnsi="Cambria Math"/>
                <w:lang w:val="en-US"/>
              </w:rPr>
              <m:t>A→B,   A</m:t>
            </m:r>
          </m:num>
          <m:den>
            <m:r>
              <m:rPr>
                <m:sty m:val="bi"/>
              </m:rPr>
              <w:rPr>
                <w:rFonts w:ascii="Cambria Math" w:eastAsiaTheme="minorEastAsia" w:hAnsi="Cambria Math"/>
                <w:lang w:val="en-US"/>
              </w:rPr>
              <m:t>B</m:t>
            </m:r>
          </m:den>
        </m:f>
      </m:oMath>
    </w:p>
    <w:p w:rsidR="007E68D9" w:rsidRPr="007E68D9" w:rsidRDefault="007E68D9" w:rsidP="007E68D9">
      <w:pPr>
        <w:numPr>
          <w:ilvl w:val="0"/>
          <w:numId w:val="3"/>
        </w:numPr>
        <w:spacing w:before="100" w:beforeAutospacing="1" w:after="100" w:afterAutospacing="1"/>
        <w:jc w:val="both"/>
        <w:rPr>
          <w:i/>
          <w:iCs/>
        </w:rPr>
      </w:pPr>
      <w:r w:rsidRPr="007E68D9">
        <w:t xml:space="preserve">Viết </w:t>
      </w:r>
      <w:r w:rsidRPr="007E68D9">
        <w:rPr>
          <w:rStyle w:val="katex-mathml"/>
          <w:i/>
          <w:iCs/>
        </w:rPr>
        <w:t>A→B</w:t>
      </w:r>
      <w:r w:rsidRPr="007E68D9">
        <w:rPr>
          <w:rStyle w:val="katex-mathml"/>
        </w:rPr>
        <w:t xml:space="preserve"> </w:t>
      </w:r>
      <w:r w:rsidRPr="007E68D9">
        <w:t xml:space="preserve">dưới dạng logic mệnh đề: </w:t>
      </w:r>
      <w:r w:rsidRPr="007E68D9">
        <w:rPr>
          <w:rStyle w:val="katex-mathml"/>
          <w:i/>
          <w:iCs/>
        </w:rPr>
        <w:t>A→B</w:t>
      </w:r>
      <w:r w:rsidRPr="007E68D9">
        <w:rPr>
          <w:rStyle w:val="katex-mathml"/>
        </w:rPr>
        <w:t xml:space="preserve"> </w:t>
      </w:r>
      <w:r w:rsidRPr="007E68D9">
        <w:t xml:space="preserve">tương đương với </w:t>
      </w:r>
      <w:r w:rsidRPr="007E68D9">
        <w:rPr>
          <w:rStyle w:val="katex-mathml"/>
          <w:i/>
          <w:iCs/>
        </w:rPr>
        <w:t>¬A</w:t>
      </w:r>
      <w:r w:rsidRPr="007E68D9">
        <w:rPr>
          <w:rStyle w:val="katex-mathml"/>
          <w:rFonts w:ascii="Cambria Math" w:hAnsi="Cambria Math" w:cs="Cambria Math"/>
          <w:i/>
          <w:iCs/>
        </w:rPr>
        <w:t>∨</w:t>
      </w:r>
      <w:r w:rsidRPr="007E68D9">
        <w:rPr>
          <w:rStyle w:val="katex-mathml"/>
          <w:i/>
          <w:iCs/>
        </w:rPr>
        <w:t xml:space="preserve"> B</w:t>
      </w:r>
      <w:r w:rsidRPr="007E68D9">
        <w:rPr>
          <w:i/>
          <w:iCs/>
        </w:rPr>
        <w:t>.</w:t>
      </w:r>
    </w:p>
    <w:p w:rsidR="007E68D9" w:rsidRPr="007E68D9" w:rsidRDefault="007E68D9" w:rsidP="007E68D9">
      <w:pPr>
        <w:numPr>
          <w:ilvl w:val="0"/>
          <w:numId w:val="3"/>
        </w:numPr>
        <w:spacing w:before="100" w:beforeAutospacing="1" w:after="100" w:afterAutospacing="1"/>
        <w:jc w:val="both"/>
      </w:pPr>
      <w:r w:rsidRPr="007E68D9">
        <w:t xml:space="preserve">Từ hai mệnh đề </w:t>
      </w:r>
      <w:r w:rsidRPr="007E68D9">
        <w:rPr>
          <w:rStyle w:val="katex-mathml"/>
          <w:i/>
          <w:iCs/>
        </w:rPr>
        <w:t>A</w:t>
      </w:r>
      <w:r w:rsidRPr="007E68D9">
        <w:t xml:space="preserve"> và </w:t>
      </w:r>
      <w:r w:rsidRPr="007E68D9">
        <w:rPr>
          <w:rStyle w:val="katex-mathml"/>
          <w:i/>
          <w:iCs/>
        </w:rPr>
        <w:t>¬A</w:t>
      </w:r>
      <w:r w:rsidRPr="007E68D9">
        <w:rPr>
          <w:rStyle w:val="katex-mathml"/>
          <w:rFonts w:ascii="Cambria Math" w:hAnsi="Cambria Math" w:cs="Cambria Math"/>
          <w:i/>
          <w:iCs/>
        </w:rPr>
        <w:t>∨</w:t>
      </w:r>
      <w:r w:rsidRPr="007E68D9">
        <w:rPr>
          <w:rStyle w:val="katex-mathml"/>
          <w:i/>
          <w:iCs/>
        </w:rPr>
        <w:t xml:space="preserve"> B</w:t>
      </w:r>
      <w:r w:rsidRPr="007E68D9">
        <w:t xml:space="preserve">, áp dụng luật phân giải, ta loại bỏ </w:t>
      </w:r>
      <w:r w:rsidRPr="007E68D9">
        <w:rPr>
          <w:rStyle w:val="katex-mathml"/>
          <w:i/>
          <w:iCs/>
        </w:rPr>
        <w:t>¬A</w:t>
      </w:r>
      <w:r w:rsidRPr="007E68D9">
        <w:t xml:space="preserve"> vì  </w:t>
      </w:r>
      <w:r w:rsidRPr="007E68D9">
        <w:rPr>
          <w:i/>
          <w:iCs/>
        </w:rPr>
        <w:t>A</w:t>
      </w:r>
      <w:r w:rsidRPr="007E68D9">
        <w:t xml:space="preserve"> và </w:t>
      </w:r>
      <w:r w:rsidRPr="007E68D9">
        <w:rPr>
          <w:rStyle w:val="katex-mathml"/>
          <w:i/>
          <w:iCs/>
        </w:rPr>
        <w:t>¬A</w:t>
      </w:r>
      <w:r w:rsidRPr="007E68D9">
        <w:t xml:space="preserve"> mâu thuẫn, kết quả là </w:t>
      </w:r>
      <w:r w:rsidRPr="007E68D9">
        <w:rPr>
          <w:rStyle w:val="katex-mathml"/>
          <w:i/>
          <w:iCs/>
        </w:rPr>
        <w:t>B</w:t>
      </w:r>
      <w:r w:rsidRPr="007E68D9">
        <w:rPr>
          <w:i/>
          <w:iCs/>
        </w:rPr>
        <w:t>.</w:t>
      </w:r>
    </w:p>
    <w:p w:rsidR="007E68D9" w:rsidRPr="007E68D9" w:rsidRDefault="007E68D9" w:rsidP="007E68D9">
      <w:pPr>
        <w:jc w:val="both"/>
        <w:rPr>
          <w:rFonts w:eastAsiaTheme="minorEastAsia"/>
          <w:b/>
          <w:bCs/>
          <w:kern w:val="2"/>
          <w:lang w:val="en-US"/>
          <w14:ligatures w14:val="standardContextual"/>
        </w:rPr>
      </w:pPr>
      <w:r w:rsidRPr="007E68D9">
        <w:rPr>
          <w:rFonts w:eastAsiaTheme="minorEastAsia"/>
          <w:b/>
          <w:bCs/>
          <w:lang w:val="en-US"/>
        </w:rPr>
        <w:t xml:space="preserve">Luật Modus Tollens (phủ định): </w:t>
      </w:r>
      <w:r w:rsidRPr="007E68D9">
        <w:rPr>
          <w:rFonts w:eastAsiaTheme="minorEastAsia"/>
          <w:b/>
          <w:bCs/>
          <w:lang w:val="en-US"/>
        </w:rPr>
        <w:tab/>
      </w:r>
      <m:oMath>
        <m:f>
          <m:fPr>
            <m:ctrlPr>
              <w:rPr>
                <w:rFonts w:ascii="Cambria Math" w:eastAsiaTheme="minorEastAsia" w:hAnsi="Cambria Math"/>
                <w:b/>
                <w:bCs/>
                <w:i/>
                <w:kern w:val="2"/>
                <w:lang w:val="en-US"/>
                <w14:ligatures w14:val="standardContextual"/>
              </w:rPr>
            </m:ctrlPr>
          </m:fPr>
          <m:num>
            <m:r>
              <m:rPr>
                <m:sty m:val="bi"/>
              </m:rPr>
              <w:rPr>
                <w:rFonts w:ascii="Cambria Math" w:eastAsiaTheme="minorEastAsia" w:hAnsi="Cambria Math"/>
                <w:lang w:val="en-US"/>
              </w:rPr>
              <m:t>A→B,   ¬B</m:t>
            </m:r>
          </m:num>
          <m:den>
            <m:r>
              <m:rPr>
                <m:sty m:val="bi"/>
              </m:rPr>
              <w:rPr>
                <w:rFonts w:ascii="Cambria Math" w:eastAsiaTheme="minorEastAsia" w:hAnsi="Cambria Math"/>
                <w:lang w:val="en-US"/>
              </w:rPr>
              <m:t>¬A</m:t>
            </m:r>
          </m:den>
        </m:f>
      </m:oMath>
    </w:p>
    <w:p w:rsidR="007E68D9" w:rsidRPr="007E68D9" w:rsidRDefault="007E68D9" w:rsidP="007E68D9">
      <w:pPr>
        <w:jc w:val="both"/>
        <w:rPr>
          <w:rFonts w:eastAsiaTheme="minorEastAsia"/>
          <w:b/>
          <w:bCs/>
          <w:kern w:val="2"/>
          <w:lang w:val="en-US"/>
          <w14:ligatures w14:val="standardContextual"/>
        </w:rPr>
      </w:pPr>
    </w:p>
    <w:p w:rsidR="007E68D9" w:rsidRPr="007E68D9" w:rsidRDefault="007E68D9" w:rsidP="007E68D9">
      <w:pPr>
        <w:pStyle w:val="ListParagraph"/>
        <w:numPr>
          <w:ilvl w:val="0"/>
          <w:numId w:val="3"/>
        </w:numPr>
        <w:jc w:val="both"/>
        <w:rPr>
          <w:rStyle w:val="katex-mathml"/>
          <w:rFonts w:eastAsiaTheme="minorEastAsia"/>
          <w:i/>
          <w:iCs/>
          <w:kern w:val="2"/>
          <w:lang w:val="en-US"/>
          <w14:ligatures w14:val="standardContextual"/>
        </w:rPr>
      </w:pPr>
      <w:r w:rsidRPr="007E68D9">
        <w:rPr>
          <w:rFonts w:eastAsiaTheme="minorEastAsia"/>
          <w:kern w:val="2"/>
          <w:lang w:val="en-US"/>
          <w14:ligatures w14:val="standardContextual"/>
        </w:rPr>
        <w:t xml:space="preserve">Chuyển </w:t>
      </w:r>
      <w:r w:rsidRPr="007E68D9">
        <w:rPr>
          <w:rStyle w:val="katex-mathml"/>
          <w:i/>
          <w:iCs/>
        </w:rPr>
        <w:t>A→B</w:t>
      </w:r>
      <w:r w:rsidRPr="007E68D9">
        <w:rPr>
          <w:rStyle w:val="katex-mathml"/>
        </w:rPr>
        <w:t xml:space="preserve"> </w:t>
      </w:r>
      <w:r w:rsidRPr="007E68D9">
        <w:t xml:space="preserve">thành </w:t>
      </w:r>
      <w:r w:rsidRPr="007E68D9">
        <w:rPr>
          <w:rStyle w:val="katex-mathml"/>
          <w:i/>
          <w:iCs/>
        </w:rPr>
        <w:t>¬A</w:t>
      </w:r>
      <w:r w:rsidRPr="007E68D9">
        <w:rPr>
          <w:rStyle w:val="katex-mathml"/>
          <w:rFonts w:ascii="Cambria Math" w:hAnsi="Cambria Math" w:cs="Cambria Math"/>
          <w:i/>
          <w:iCs/>
        </w:rPr>
        <w:t>∨</w:t>
      </w:r>
      <w:r w:rsidRPr="007E68D9">
        <w:rPr>
          <w:rStyle w:val="katex-mathml"/>
          <w:i/>
          <w:iCs/>
        </w:rPr>
        <w:t xml:space="preserve"> B</w:t>
      </w:r>
    </w:p>
    <w:p w:rsidR="007E68D9" w:rsidRPr="007E68D9" w:rsidRDefault="007E68D9" w:rsidP="007E68D9">
      <w:pPr>
        <w:pStyle w:val="ListParagraph"/>
        <w:numPr>
          <w:ilvl w:val="0"/>
          <w:numId w:val="3"/>
        </w:numPr>
        <w:jc w:val="both"/>
        <w:rPr>
          <w:rFonts w:eastAsiaTheme="minorEastAsia"/>
          <w:kern w:val="2"/>
          <w:lang w:val="en-US"/>
          <w14:ligatures w14:val="standardContextual"/>
        </w:rPr>
      </w:pPr>
      <w:r w:rsidRPr="007E68D9">
        <w:t xml:space="preserve">Với mệnh đề </w:t>
      </w:r>
      <w:r w:rsidRPr="007E68D9">
        <w:rPr>
          <w:rStyle w:val="katex-mathml"/>
          <w:i/>
          <w:iCs/>
        </w:rPr>
        <w:t>¬A</w:t>
      </w:r>
      <w:r w:rsidRPr="007E68D9">
        <w:rPr>
          <w:rStyle w:val="katex-mathml"/>
          <w:rFonts w:ascii="Cambria Math" w:hAnsi="Cambria Math" w:cs="Cambria Math"/>
          <w:i/>
          <w:iCs/>
        </w:rPr>
        <w:t>∨</w:t>
      </w:r>
      <w:r w:rsidRPr="007E68D9">
        <w:rPr>
          <w:rStyle w:val="katex-mathml"/>
          <w:i/>
          <w:iCs/>
        </w:rPr>
        <w:t xml:space="preserve"> B</w:t>
      </w:r>
      <w:r w:rsidRPr="007E68D9">
        <w:rPr>
          <w:rStyle w:val="katex-mathml"/>
        </w:rPr>
        <w:t xml:space="preserve"> </w:t>
      </w:r>
      <w:r w:rsidRPr="007E68D9">
        <w:t xml:space="preserve">và mệnh đề </w:t>
      </w:r>
      <w:r w:rsidRPr="007E68D9">
        <w:rPr>
          <w:rStyle w:val="katex-mathml"/>
          <w:i/>
          <w:iCs/>
        </w:rPr>
        <w:t>¬B</w:t>
      </w:r>
      <w:r w:rsidRPr="007E68D9">
        <w:rPr>
          <w:rStyle w:val="katex-mathml"/>
        </w:rPr>
        <w:t xml:space="preserve">, </w:t>
      </w:r>
      <w:r w:rsidRPr="007E68D9">
        <w:t xml:space="preserve">áp dụng luật phân giải, ta loại bỏ </w:t>
      </w:r>
      <w:r w:rsidRPr="007E68D9">
        <w:rPr>
          <w:rStyle w:val="katex-mathml"/>
          <w:i/>
          <w:iCs/>
        </w:rPr>
        <w:t>B</w:t>
      </w:r>
      <w:r w:rsidRPr="007E68D9">
        <w:t xml:space="preserve"> và kết quả còn lại là </w:t>
      </w:r>
      <w:r w:rsidRPr="007E68D9">
        <w:rPr>
          <w:rStyle w:val="mord"/>
          <w:i/>
          <w:iCs/>
        </w:rPr>
        <w:t>¬A</w:t>
      </w:r>
      <w:r w:rsidRPr="007E68D9">
        <w:rPr>
          <w:i/>
          <w:iCs/>
        </w:rPr>
        <w:t>.</w:t>
      </w:r>
    </w:p>
    <w:p w:rsidR="007E68D9" w:rsidRPr="007E68D9" w:rsidRDefault="007E68D9" w:rsidP="007E68D9">
      <w:pPr>
        <w:jc w:val="both"/>
        <w:rPr>
          <w:rFonts w:eastAsiaTheme="minorEastAsia"/>
          <w:kern w:val="2"/>
          <w:lang w:val="en-US"/>
          <w14:ligatures w14:val="standardContextual"/>
        </w:rPr>
      </w:pPr>
    </w:p>
    <w:p w:rsidR="007E68D9" w:rsidRPr="007E68D9" w:rsidRDefault="007E68D9" w:rsidP="007E68D9">
      <w:pPr>
        <w:jc w:val="both"/>
        <w:rPr>
          <w:rFonts w:eastAsiaTheme="minorEastAsia"/>
          <w:b/>
          <w:bCs/>
          <w:kern w:val="2"/>
          <w:lang w:val="en-US"/>
          <w14:ligatures w14:val="standardContextual"/>
        </w:rPr>
      </w:pPr>
      <w:r w:rsidRPr="007E68D9">
        <w:rPr>
          <w:rFonts w:eastAsiaTheme="minorEastAsia"/>
          <w:b/>
          <w:bCs/>
          <w:lang w:val="en-US"/>
        </w:rPr>
        <w:t xml:space="preserve">Luật bắc cầu: </w:t>
      </w:r>
      <w:r w:rsidRPr="007E68D9">
        <w:rPr>
          <w:rFonts w:eastAsiaTheme="minorEastAsia"/>
          <w:b/>
          <w:bCs/>
          <w:lang w:val="en-US"/>
        </w:rPr>
        <w:tab/>
      </w:r>
      <w:r w:rsidRPr="007E68D9">
        <w:rPr>
          <w:rFonts w:eastAsiaTheme="minorEastAsia"/>
          <w:b/>
          <w:bCs/>
          <w:lang w:val="en-US"/>
        </w:rPr>
        <w:tab/>
      </w:r>
      <w:r w:rsidRPr="007E68D9">
        <w:rPr>
          <w:rFonts w:eastAsiaTheme="minorEastAsia"/>
          <w:b/>
          <w:bCs/>
          <w:lang w:val="en-US"/>
        </w:rPr>
        <w:tab/>
      </w:r>
      <w:r w:rsidRPr="007E68D9">
        <w:rPr>
          <w:rFonts w:eastAsiaTheme="minorEastAsia"/>
          <w:b/>
          <w:bCs/>
          <w:lang w:val="en-US"/>
        </w:rPr>
        <w:tab/>
      </w:r>
      <m:oMath>
        <m:f>
          <m:fPr>
            <m:ctrlPr>
              <w:rPr>
                <w:rFonts w:ascii="Cambria Math" w:eastAsiaTheme="minorEastAsia" w:hAnsi="Cambria Math"/>
                <w:b/>
                <w:bCs/>
                <w:i/>
                <w:kern w:val="2"/>
                <w:lang w:val="en-US"/>
                <w14:ligatures w14:val="standardContextual"/>
              </w:rPr>
            </m:ctrlPr>
          </m:fPr>
          <m:num>
            <m:r>
              <m:rPr>
                <m:sty m:val="bi"/>
              </m:rPr>
              <w:rPr>
                <w:rFonts w:ascii="Cambria Math" w:eastAsiaTheme="minorEastAsia" w:hAnsi="Cambria Math"/>
                <w:lang w:val="en-US"/>
              </w:rPr>
              <m:t>A→B,   B→C</m:t>
            </m:r>
          </m:num>
          <m:den>
            <m:r>
              <m:rPr>
                <m:sty m:val="bi"/>
              </m:rPr>
              <w:rPr>
                <w:rFonts w:ascii="Cambria Math" w:eastAsiaTheme="minorEastAsia" w:hAnsi="Cambria Math"/>
                <w:lang w:val="en-US"/>
              </w:rPr>
              <m:t>A→C</m:t>
            </m:r>
          </m:den>
        </m:f>
      </m:oMath>
    </w:p>
    <w:p w:rsidR="007E68D9" w:rsidRPr="007E68D9" w:rsidRDefault="007E68D9" w:rsidP="007E68D9">
      <w:pPr>
        <w:pStyle w:val="ListParagraph"/>
        <w:numPr>
          <w:ilvl w:val="0"/>
          <w:numId w:val="3"/>
        </w:numPr>
        <w:jc w:val="both"/>
        <w:rPr>
          <w:rFonts w:eastAsiaTheme="minorEastAsia"/>
          <w:i/>
          <w:iCs/>
          <w:lang w:val="en-US"/>
        </w:rPr>
      </w:pPr>
      <w:r w:rsidRPr="007E68D9">
        <w:t xml:space="preserve">Chuyển </w:t>
      </w:r>
      <w:r w:rsidRPr="007E68D9">
        <w:rPr>
          <w:rStyle w:val="katex-mathml"/>
          <w:i/>
          <w:iCs/>
        </w:rPr>
        <w:t>A→B</w:t>
      </w:r>
      <w:r w:rsidRPr="007E68D9">
        <w:rPr>
          <w:rStyle w:val="katex-mathml"/>
        </w:rPr>
        <w:t xml:space="preserve"> </w:t>
      </w:r>
      <w:r w:rsidRPr="007E68D9">
        <w:t xml:space="preserve">thành </w:t>
      </w:r>
      <w:r w:rsidRPr="007E68D9">
        <w:rPr>
          <w:rStyle w:val="katex-mathml"/>
          <w:i/>
          <w:iCs/>
        </w:rPr>
        <w:t>¬A</w:t>
      </w:r>
      <w:r w:rsidRPr="007E68D9">
        <w:rPr>
          <w:rStyle w:val="katex-mathml"/>
          <w:rFonts w:ascii="Cambria Math" w:hAnsi="Cambria Math" w:cs="Cambria Math"/>
          <w:i/>
          <w:iCs/>
        </w:rPr>
        <w:t>∨</w:t>
      </w:r>
      <w:r w:rsidRPr="007E68D9">
        <w:rPr>
          <w:rStyle w:val="katex-mathml"/>
          <w:i/>
          <w:iCs/>
        </w:rPr>
        <w:t xml:space="preserve"> B</w:t>
      </w:r>
      <w:r w:rsidRPr="007E68D9">
        <w:rPr>
          <w:rStyle w:val="katex-mathml"/>
        </w:rPr>
        <w:t xml:space="preserve"> </w:t>
      </w:r>
      <w:r w:rsidRPr="007E68D9">
        <w:t xml:space="preserve">và </w:t>
      </w:r>
      <w:r w:rsidRPr="007E68D9">
        <w:rPr>
          <w:rStyle w:val="katex-mathml"/>
          <w:i/>
          <w:iCs/>
        </w:rPr>
        <w:t>B→C</w:t>
      </w:r>
      <w:r w:rsidRPr="007E68D9">
        <w:rPr>
          <w:rStyle w:val="katex-mathml"/>
        </w:rPr>
        <w:t xml:space="preserve"> </w:t>
      </w:r>
      <w:r w:rsidRPr="007E68D9">
        <w:t xml:space="preserve">thành </w:t>
      </w:r>
      <w:r w:rsidRPr="007E68D9">
        <w:rPr>
          <w:rStyle w:val="katex-mathml"/>
          <w:i/>
          <w:iCs/>
        </w:rPr>
        <w:t xml:space="preserve">¬B </w:t>
      </w:r>
      <w:r w:rsidRPr="007E68D9">
        <w:rPr>
          <w:rStyle w:val="katex-mathml"/>
          <w:rFonts w:ascii="Cambria Math" w:hAnsi="Cambria Math" w:cs="Cambria Math"/>
          <w:i/>
          <w:iCs/>
        </w:rPr>
        <w:t>∨</w:t>
      </w:r>
      <w:r w:rsidRPr="007E68D9">
        <w:rPr>
          <w:rStyle w:val="katex-mathml"/>
          <w:i/>
          <w:iCs/>
        </w:rPr>
        <w:t xml:space="preserve"> C</w:t>
      </w:r>
    </w:p>
    <w:p w:rsidR="007E68D9" w:rsidRPr="007E68D9" w:rsidRDefault="007E68D9" w:rsidP="007E68D9">
      <w:pPr>
        <w:pStyle w:val="ListParagraph"/>
        <w:numPr>
          <w:ilvl w:val="0"/>
          <w:numId w:val="3"/>
        </w:numPr>
        <w:jc w:val="both"/>
        <w:rPr>
          <w:rFonts w:eastAsiaTheme="minorEastAsia"/>
          <w:i/>
          <w:iCs/>
          <w:lang w:val="en-US"/>
        </w:rPr>
      </w:pPr>
      <w:r w:rsidRPr="007E68D9">
        <w:t xml:space="preserve">Áp dụng luật phân giải cho </w:t>
      </w:r>
      <w:r w:rsidRPr="007E68D9">
        <w:rPr>
          <w:rStyle w:val="katex-mathml"/>
          <w:i/>
          <w:iCs/>
        </w:rPr>
        <w:t>¬A</w:t>
      </w:r>
      <w:r w:rsidRPr="007E68D9">
        <w:rPr>
          <w:rStyle w:val="katex-mathml"/>
          <w:rFonts w:ascii="Cambria Math" w:hAnsi="Cambria Math" w:cs="Cambria Math"/>
          <w:i/>
          <w:iCs/>
        </w:rPr>
        <w:t>∨</w:t>
      </w:r>
      <w:r w:rsidRPr="007E68D9">
        <w:rPr>
          <w:rStyle w:val="katex-mathml"/>
          <w:i/>
          <w:iCs/>
        </w:rPr>
        <w:t xml:space="preserve"> B</w:t>
      </w:r>
      <w:r w:rsidRPr="007E68D9">
        <w:rPr>
          <w:rStyle w:val="katex-mathml"/>
        </w:rPr>
        <w:t xml:space="preserve"> </w:t>
      </w:r>
      <w:r w:rsidRPr="007E68D9">
        <w:t xml:space="preserve">và </w:t>
      </w:r>
      <w:r w:rsidRPr="007E68D9">
        <w:rPr>
          <w:rStyle w:val="katex-mathml"/>
          <w:i/>
          <w:iCs/>
        </w:rPr>
        <w:t>¬B</w:t>
      </w:r>
      <w:r w:rsidRPr="007E68D9">
        <w:rPr>
          <w:rStyle w:val="katex-mathml"/>
          <w:rFonts w:ascii="Cambria Math" w:hAnsi="Cambria Math" w:cs="Cambria Math"/>
          <w:i/>
          <w:iCs/>
        </w:rPr>
        <w:t>∨</w:t>
      </w:r>
      <w:r w:rsidRPr="007E68D9">
        <w:rPr>
          <w:rStyle w:val="katex-mathml"/>
          <w:i/>
          <w:iCs/>
        </w:rPr>
        <w:t xml:space="preserve"> C</w:t>
      </w:r>
      <w:r w:rsidRPr="007E68D9">
        <w:rPr>
          <w:rStyle w:val="katex-mathml"/>
        </w:rPr>
        <w:t xml:space="preserve">, </w:t>
      </w:r>
      <w:r w:rsidRPr="007E68D9">
        <w:t xml:space="preserve"> ta loại bỏ </w:t>
      </w:r>
      <w:r w:rsidRPr="007E68D9">
        <w:rPr>
          <w:rStyle w:val="katex-mathml"/>
          <w:i/>
          <w:iCs/>
        </w:rPr>
        <w:t>B</w:t>
      </w:r>
      <w:r w:rsidRPr="007E68D9">
        <w:t xml:space="preserve"> và kết quả là </w:t>
      </w:r>
      <w:r w:rsidRPr="007E68D9">
        <w:rPr>
          <w:rStyle w:val="katex-mathml"/>
          <w:i/>
          <w:iCs/>
        </w:rPr>
        <w:t>¬A</w:t>
      </w:r>
      <w:r w:rsidRPr="007E68D9">
        <w:rPr>
          <w:rStyle w:val="katex-mathml"/>
          <w:rFonts w:ascii="Cambria Math" w:hAnsi="Cambria Math" w:cs="Cambria Math"/>
          <w:i/>
          <w:iCs/>
        </w:rPr>
        <w:t>∨</w:t>
      </w:r>
      <w:r w:rsidRPr="007E68D9">
        <w:rPr>
          <w:rStyle w:val="katex-mathml"/>
          <w:i/>
          <w:iCs/>
        </w:rPr>
        <w:t xml:space="preserve"> C</w:t>
      </w:r>
      <w:r w:rsidRPr="007E68D9">
        <w:rPr>
          <w:rStyle w:val="katex-mathml"/>
        </w:rPr>
        <w:t>,</w:t>
      </w:r>
      <w:r w:rsidRPr="007E68D9">
        <w:t xml:space="preserve"> tương đương với </w:t>
      </w:r>
      <w:r w:rsidRPr="007E68D9">
        <w:rPr>
          <w:rStyle w:val="katex-mathml"/>
          <w:i/>
          <w:iCs/>
        </w:rPr>
        <w:t>A→C</w:t>
      </w:r>
      <w:r w:rsidRPr="007E68D9">
        <w:rPr>
          <w:i/>
          <w:iCs/>
        </w:rPr>
        <w:t>.</w:t>
      </w:r>
    </w:p>
    <w:p w:rsidR="007E68D9" w:rsidRPr="007E68D9" w:rsidRDefault="007E68D9" w:rsidP="007E68D9">
      <w:pPr>
        <w:jc w:val="both"/>
        <w:rPr>
          <w:rFonts w:eastAsiaTheme="minorEastAsia"/>
          <w:lang w:val="en-US"/>
        </w:rPr>
      </w:pPr>
    </w:p>
    <w:p w:rsidR="007E68D9" w:rsidRPr="007E68D9" w:rsidRDefault="007E68D9" w:rsidP="007E68D9">
      <w:pPr>
        <w:jc w:val="both"/>
        <w:rPr>
          <w:rFonts w:eastAsiaTheme="minorEastAsia"/>
          <w:lang w:val="en-US"/>
        </w:rPr>
      </w:pPr>
      <w:r w:rsidRPr="007E68D9">
        <w:t>Như vậy, luật phân giải có thể được xem là một quy tắc suy diễn tổng quát trong logic mệnh đề, vì nó bao hàm cả Modus Ponens, Modus Tollens và luật bắc cầu.</w:t>
      </w:r>
    </w:p>
    <w:sectPr w:rsidR="007E68D9" w:rsidRPr="007E68D9">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B20057C"/>
    <w:multiLevelType w:val="multilevel"/>
    <w:tmpl w:val="14B83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7E23626"/>
    <w:multiLevelType w:val="hybridMultilevel"/>
    <w:tmpl w:val="A7526B26"/>
    <w:lvl w:ilvl="0" w:tplc="3746E416">
      <w:start w:val="4"/>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76E74A52"/>
    <w:multiLevelType w:val="hybridMultilevel"/>
    <w:tmpl w:val="B0CABDC2"/>
    <w:lvl w:ilvl="0" w:tplc="A5706456">
      <w:start w:val="4"/>
      <w:numFmt w:val="bullet"/>
      <w:lvlText w:val=""/>
      <w:lvlJc w:val="left"/>
      <w:pPr>
        <w:ind w:left="720" w:hanging="360"/>
      </w:pPr>
      <w:rPr>
        <w:rFonts w:ascii="Symbol" w:eastAsiaTheme="minorHAnsi"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13018493">
    <w:abstractNumId w:val="1"/>
  </w:num>
  <w:num w:numId="2" w16cid:durableId="722213270">
    <w:abstractNumId w:val="2"/>
  </w:num>
  <w:num w:numId="3" w16cid:durableId="10727715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7"/>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68D9"/>
    <w:rsid w:val="00173A6C"/>
    <w:rsid w:val="003D311F"/>
    <w:rsid w:val="00743E83"/>
    <w:rsid w:val="007E68D9"/>
    <w:rsid w:val="008744CE"/>
    <w:rsid w:val="00A9108D"/>
    <w:rsid w:val="00C11DBA"/>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B3697AD-2866-794D-AD1A-704AAEF313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V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E68D9"/>
    <w:rPr>
      <w:rFonts w:ascii="Times New Roman" w:eastAsia="Times New Roman" w:hAnsi="Times New Roman" w:cs="Times New Roman"/>
      <w:kern w:val="0"/>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E68D9"/>
    <w:pPr>
      <w:ind w:left="720"/>
      <w:contextualSpacing/>
    </w:pPr>
  </w:style>
  <w:style w:type="character" w:customStyle="1" w:styleId="mord">
    <w:name w:val="mord"/>
    <w:basedOn w:val="DefaultParagraphFont"/>
    <w:rsid w:val="007E68D9"/>
  </w:style>
  <w:style w:type="character" w:customStyle="1" w:styleId="mpunct">
    <w:name w:val="mpunct"/>
    <w:basedOn w:val="DefaultParagraphFont"/>
    <w:rsid w:val="007E68D9"/>
  </w:style>
  <w:style w:type="character" w:customStyle="1" w:styleId="mopen">
    <w:name w:val="mopen"/>
    <w:basedOn w:val="DefaultParagraphFont"/>
    <w:rsid w:val="007E68D9"/>
  </w:style>
  <w:style w:type="character" w:customStyle="1" w:styleId="mclose">
    <w:name w:val="mclose"/>
    <w:basedOn w:val="DefaultParagraphFont"/>
    <w:rsid w:val="007E68D9"/>
  </w:style>
  <w:style w:type="paragraph" w:styleId="NormalWeb">
    <w:name w:val="Normal (Web)"/>
    <w:basedOn w:val="Normal"/>
    <w:uiPriority w:val="99"/>
    <w:semiHidden/>
    <w:unhideWhenUsed/>
    <w:rsid w:val="007E68D9"/>
    <w:pPr>
      <w:spacing w:before="100" w:beforeAutospacing="1" w:after="100" w:afterAutospacing="1"/>
    </w:pPr>
  </w:style>
  <w:style w:type="character" w:customStyle="1" w:styleId="katex-mathml">
    <w:name w:val="katex-mathml"/>
    <w:basedOn w:val="DefaultParagraphFont"/>
    <w:rsid w:val="007E68D9"/>
  </w:style>
  <w:style w:type="character" w:styleId="Strong">
    <w:name w:val="Strong"/>
    <w:basedOn w:val="DefaultParagraphFont"/>
    <w:uiPriority w:val="22"/>
    <w:qFormat/>
    <w:rsid w:val="007E68D9"/>
    <w:rPr>
      <w:b/>
      <w:bCs/>
    </w:rPr>
  </w:style>
  <w:style w:type="character" w:styleId="PlaceholderText">
    <w:name w:val="Placeholder Text"/>
    <w:basedOn w:val="DefaultParagraphFont"/>
    <w:uiPriority w:val="99"/>
    <w:semiHidden/>
    <w:rsid w:val="007E68D9"/>
    <w:rPr>
      <w:color w:val="666666"/>
    </w:rPr>
  </w:style>
  <w:style w:type="character" w:customStyle="1" w:styleId="mbin">
    <w:name w:val="mbin"/>
    <w:basedOn w:val="DefaultParagraphFont"/>
    <w:rsid w:val="007E68D9"/>
  </w:style>
  <w:style w:type="character" w:customStyle="1" w:styleId="mrel">
    <w:name w:val="mrel"/>
    <w:basedOn w:val="DefaultParagraphFont"/>
    <w:rsid w:val="007E68D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91580610">
      <w:bodyDiv w:val="1"/>
      <w:marLeft w:val="0"/>
      <w:marRight w:val="0"/>
      <w:marTop w:val="0"/>
      <w:marBottom w:val="0"/>
      <w:divBdr>
        <w:top w:val="none" w:sz="0" w:space="0" w:color="auto"/>
        <w:left w:val="none" w:sz="0" w:space="0" w:color="auto"/>
        <w:bottom w:val="none" w:sz="0" w:space="0" w:color="auto"/>
        <w:right w:val="none" w:sz="0" w:space="0" w:color="auto"/>
      </w:divBdr>
    </w:div>
    <w:div w:id="406266986">
      <w:bodyDiv w:val="1"/>
      <w:marLeft w:val="0"/>
      <w:marRight w:val="0"/>
      <w:marTop w:val="0"/>
      <w:marBottom w:val="0"/>
      <w:divBdr>
        <w:top w:val="none" w:sz="0" w:space="0" w:color="auto"/>
        <w:left w:val="none" w:sz="0" w:space="0" w:color="auto"/>
        <w:bottom w:val="none" w:sz="0" w:space="0" w:color="auto"/>
        <w:right w:val="none" w:sz="0" w:space="0" w:color="auto"/>
      </w:divBdr>
    </w:div>
    <w:div w:id="545022663">
      <w:bodyDiv w:val="1"/>
      <w:marLeft w:val="0"/>
      <w:marRight w:val="0"/>
      <w:marTop w:val="0"/>
      <w:marBottom w:val="0"/>
      <w:divBdr>
        <w:top w:val="none" w:sz="0" w:space="0" w:color="auto"/>
        <w:left w:val="none" w:sz="0" w:space="0" w:color="auto"/>
        <w:bottom w:val="none" w:sz="0" w:space="0" w:color="auto"/>
        <w:right w:val="none" w:sz="0" w:space="0" w:color="auto"/>
      </w:divBdr>
    </w:div>
    <w:div w:id="832261345">
      <w:bodyDiv w:val="1"/>
      <w:marLeft w:val="0"/>
      <w:marRight w:val="0"/>
      <w:marTop w:val="0"/>
      <w:marBottom w:val="0"/>
      <w:divBdr>
        <w:top w:val="none" w:sz="0" w:space="0" w:color="auto"/>
        <w:left w:val="none" w:sz="0" w:space="0" w:color="auto"/>
        <w:bottom w:val="none" w:sz="0" w:space="0" w:color="auto"/>
        <w:right w:val="none" w:sz="0" w:space="0" w:color="auto"/>
      </w:divBdr>
    </w:div>
    <w:div w:id="976572874">
      <w:bodyDiv w:val="1"/>
      <w:marLeft w:val="0"/>
      <w:marRight w:val="0"/>
      <w:marTop w:val="0"/>
      <w:marBottom w:val="0"/>
      <w:divBdr>
        <w:top w:val="none" w:sz="0" w:space="0" w:color="auto"/>
        <w:left w:val="none" w:sz="0" w:space="0" w:color="auto"/>
        <w:bottom w:val="none" w:sz="0" w:space="0" w:color="auto"/>
        <w:right w:val="none" w:sz="0" w:space="0" w:color="auto"/>
      </w:divBdr>
    </w:div>
    <w:div w:id="1177112131">
      <w:bodyDiv w:val="1"/>
      <w:marLeft w:val="0"/>
      <w:marRight w:val="0"/>
      <w:marTop w:val="0"/>
      <w:marBottom w:val="0"/>
      <w:divBdr>
        <w:top w:val="none" w:sz="0" w:space="0" w:color="auto"/>
        <w:left w:val="none" w:sz="0" w:space="0" w:color="auto"/>
        <w:bottom w:val="none" w:sz="0" w:space="0" w:color="auto"/>
        <w:right w:val="none" w:sz="0" w:space="0" w:color="auto"/>
      </w:divBdr>
    </w:div>
    <w:div w:id="1859541329">
      <w:bodyDiv w:val="1"/>
      <w:marLeft w:val="0"/>
      <w:marRight w:val="0"/>
      <w:marTop w:val="0"/>
      <w:marBottom w:val="0"/>
      <w:divBdr>
        <w:top w:val="none" w:sz="0" w:space="0" w:color="auto"/>
        <w:left w:val="none" w:sz="0" w:space="0" w:color="auto"/>
        <w:bottom w:val="none" w:sz="0" w:space="0" w:color="auto"/>
        <w:right w:val="none" w:sz="0" w:space="0" w:color="auto"/>
      </w:divBdr>
    </w:div>
    <w:div w:id="19067979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38</TotalTime>
  <Pages>2</Pages>
  <Words>348</Words>
  <Characters>1990</Characters>
  <Application>Microsoft Office Word</Application>
  <DocSecurity>0</DocSecurity>
  <Lines>16</Lines>
  <Paragraphs>4</Paragraphs>
  <ScaleCrop>false</ScaleCrop>
  <Company/>
  <LinksUpToDate>false</LinksUpToDate>
  <CharactersWithSpaces>2334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VÕ MINH THỊNH</dc:creator>
  <cp:keywords/>
  <dc:description/>
  <cp:lastModifiedBy>VÕ MINH THỊNH</cp:lastModifiedBy>
  <cp:revision>2</cp:revision>
  <cp:lastPrinted>2024-11-10T07:01:00Z</cp:lastPrinted>
  <dcterms:created xsi:type="dcterms:W3CDTF">2024-11-09T16:13:00Z</dcterms:created>
  <dcterms:modified xsi:type="dcterms:W3CDTF">2024-11-16T05:20:00Z</dcterms:modified>
</cp:coreProperties>
</file>