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AI Strategy and Operations | Paid Media Leadership</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Portfolio: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executive who builds AI products from hands-on operating experience. Created AdNexus and the training, review processes and account-ownership practices that help agency teams use it. Combines product development and people leadership with commercial experience across paid acquisition, ecommerce and conversion improvement.</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December 2016–Present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paid-media department operations across a portfolio of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media spend. Oversee strategist development, quality standards and selected client strategy.</w:t>
      </w:r>
    </w:p>
    <w:p>
      <w:pPr>
        <w:keepNext w:val="0"/>
        <w:widowControl/>
        <w:spacing w:before="42" w:after="60" w:line="247" w:lineRule="auto"/>
      </w:pPr>
      <w:r>
        <w:rPr>
          <w:rFonts w:ascii="Arial" w:hAnsi="Arial" w:cs="Arial" w:eastAsia="Arial"/>
          <w:b/>
          <w:i w:val="0"/>
          <w:smallCaps w:val="0"/>
          <w:color w:val="202729"/>
          <w:sz w:val="22"/>
          <w:u w:val="none"/>
        </w:rPr>
        <w:t>Conceived and built AdNexus, elk Marketing’s proprietary AI operating system for paid media.</w:t>
      </w:r>
      <w:r>
        <w:rPr>
          <w:rFonts w:ascii="Arial" w:hAnsi="Arial" w:cs="Arial" w:eastAsia="Arial"/>
          <w:b w:val="0"/>
          <w:i w:val="0"/>
          <w:smallCaps w:val="0"/>
          <w:color w:val="202729"/>
          <w:sz w:val="22"/>
          <w:u w:val="none"/>
        </w:rPr>
        <w:t xml:space="preserve"> Connected client intelligence and agency expertise to strategy, analysis, reporting, creative development, campaign creation and optimization, giving strategists and cross-functional teams a shared system for moving from account context to reviewed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xml:space="preserve"> through AdNexus, enabling greater account ownership with less manual work and stress.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Developed an applied strategist curriculum with onboarding, practice exercises and review criteria. Codified paid-media methods in the Ad Training Library and a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then integrated relevant guidance into AdNexus analysis and creative generation.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validation, approval and verification into supported account workflows: check assets and settings, review proposed changes before execution, confirm results afterward and retain an audit trail with recovery options.</w:t>
      </w:r>
    </w:p>
    <w:p>
      <w:pPr>
        <w:keepNext/>
        <w:widowControl/>
        <w:spacing w:before="90" w:after="48" w:line="247" w:lineRule="auto"/>
      </w:pPr>
      <w:r>
        <w:rPr>
          <w:rFonts w:ascii="Arial" w:hAnsi="Arial" w:cs="Arial" w:eastAsia="Arial"/>
          <w:b/>
          <w:i w:val="0"/>
          <w:smallCaps w:val="0"/>
          <w:color w:val="202729"/>
          <w:sz w:val="22"/>
          <w:u w:val="none"/>
        </w:rPr>
        <w:t>Department leadership and account performance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Designed hiring, onboarding, training, QA, reporting and account-ownership practices; develop strategists through clear expectations, practical guidance and review of account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Built reporting that connects revenue, attribution, customer mix, creative learning and account risks to growth plans and budget recommendations; coordinate decisions with account, creative, project‑management and executive teams.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pPr>
        <w:keepNext/>
        <w:widowControl/>
        <w:spacing w:before="90" w:after="48" w:line="247" w:lineRule="auto"/>
      </w:pPr>
      <w:r>
        <w:rPr>
          <w:rFonts w:ascii="Arial" w:hAnsi="Arial" w:cs="Arial" w:eastAsia="Arial"/>
          <w:b/>
          <w:i w:val="0"/>
          <w:smallCaps w:val="0"/>
          <w:color w:val="202729"/>
          <w:sz w:val="22"/>
          <w:u w:val="none"/>
        </w:rPr>
        <w:t>Meta Agency Award</w:t>
      </w:r>
    </w:p>
    <w:p>
      <w:pPr>
        <w:keepNext w:val="0"/>
        <w:widowControl/>
        <w:spacing w:before="0" w:after="0" w:line="247" w:lineRule="auto"/>
      </w:pPr>
      <w:r>
        <w:rPr>
          <w:rFonts w:ascii="Arial" w:hAnsi="Arial" w:cs="Arial" w:eastAsia="Arial"/>
          <w:b w:val="0"/>
          <w:i w:val="0"/>
          <w:smallCaps w:val="0"/>
          <w:color w:val="202729"/>
          <w:sz w:val="22"/>
          <w:u w:val="none"/>
        </w:rPr>
        <w:t xml:space="preserve">Helped lead the elk Marketing team behind Compartés’ 2025 holiday campaign, winner of the 2026 Meta Agency Award for Performance Campaign of the Year by a Boutique Agency in North America. The campaign delivered 56% year-over-year website-sales growth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AI Strategy and Operations | Paid Media Leadership</w:t>
      </w:r>
    </w:p>
    <w:p>
      <w:pPr>
        <w:keepNext/>
        <w:widowControl/>
        <w:spacing w:before="0" w:after="60" w:line="247" w:lineRule="auto"/>
      </w:pPr>
      <w:r>
        <w:rPr>
          <w:rFonts w:ascii="Arial" w:hAnsi="Arial" w:cs="Arial" w:eastAsia="Arial"/>
          <w:b w:val="0"/>
          <w:i/>
          <w:smallCaps w:val="0"/>
          <w:color w:val="202729"/>
          <w:sz w:val="22"/>
          <w:u w:val="none"/>
        </w:rPr>
        <w:t>elk Marketing | VP of Paid Media, continued</w:t>
      </w:r>
    </w:p>
    <w:p>
      <w:pPr>
        <w:keepNext/>
        <w:widowControl/>
        <w:spacing w:before="150" w:after="68" w:line="247" w:lineRule="auto"/>
      </w:pPr>
      <w:r>
        <w:rPr>
          <w:rFonts w:ascii="Arial" w:hAnsi="Arial" w:cs="Arial" w:eastAsia="Arial"/>
          <w:b/>
          <w:i w:val="0"/>
          <w:smallCaps w:val="0"/>
          <w:color w:val="155C58"/>
          <w:sz w:val="26"/>
          <w:u w:val="none"/>
        </w:rPr>
        <w:t>AdNexus Campaign Execution</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Automated campaign creation and ad uploads: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manually; build Google Performance Max campaigns in approximately 2 minutes, ready for launch review.</w:t>
      </w:r>
    </w:p>
    <w:p>
      <w:pPr>
        <w:keepNext/>
        <w:widowControl/>
        <w:spacing w:before="150" w:after="68" w:line="247" w:lineRule="auto"/>
      </w:pPr>
      <w:r>
        <w:rPr>
          <w:rFonts w:ascii="Arial" w:hAnsi="Arial" w:cs="Arial" w:eastAsia="Arial"/>
          <w:b/>
          <w:i w:val="0"/>
          <w:smallCaps w:val="0"/>
          <w:color w:val="155C58"/>
          <w:sz w:val="26"/>
          <w:u w:val="none"/>
        </w:rPr>
        <w:t>Additional AI Systems</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Built a searchable private knowledge system that preserves project history, decisions, evidence, instructions and next steps across sessions. Defined how information is sourced, verified, updated and retrieved, with privacy controls and explicit treatment of contradictions and incomplete coverage. Gives AI assistants useful working context without treating every new input as trusted knowledge.</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Developing Summoner, a desktop AI harness for directing models, project context, tasks and outputs, with inspectable memory, deliberate cross-model critique, and review controls designed around existing AI workflows.</w:t>
      </w:r>
    </w:p>
    <w:p>
      <w:pPr>
        <w:keepNext/>
        <w:widowControl/>
        <w:spacing w:before="150" w:after="68" w:line="247" w:lineRule="auto"/>
      </w:pPr>
      <w:r>
        <w:rPr>
          <w:rFonts w:ascii="Arial" w:hAnsi="Arial" w:cs="Arial" w:eastAsia="Arial"/>
          <w:b/>
          <w:i w:val="0"/>
          <w:smallCaps w:val="0"/>
          <w:color w:val="155C58"/>
          <w:sz w:val="26"/>
          <w:u w:val="none"/>
        </w:rPr>
        <w:t>Earlier Professional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Consulting across paid acquisition and conversion improvement, including work concurrent with elk.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with sales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Core Capabilities</w:t>
      </w:r>
    </w:p>
    <w:p>
      <w:pPr>
        <w:keepNext w:val="0"/>
        <w:widowControl/>
        <w:spacing w:before="0" w:after="60" w:line="247" w:lineRule="auto"/>
      </w:pPr>
      <w:r>
        <w:rPr>
          <w:rFonts w:ascii="Arial" w:hAnsi="Arial" w:cs="Arial" w:eastAsia="Arial"/>
          <w:b w:val="0"/>
          <w:i w:val="0"/>
          <w:smallCaps w:val="0"/>
          <w:color w:val="202729"/>
          <w:sz w:val="22"/>
          <w:u w:val="none"/>
        </w:rPr>
        <w:t>AI product and workflow development; product requirements; team development; knowledge and context systems; marketing analytics; campaign optimization; cross-functional operations; quality standards and review controls; API and MCP integrations.</w:t>
      </w:r>
    </w:p>
    <w:p>
      <w:pPr>
        <w:keepNext/>
        <w:widowControl/>
        <w:spacing w:before="150" w:after="68" w:line="247" w:lineRule="auto"/>
      </w:pPr>
      <w:r>
        <w:rPr>
          <w:rFonts w:ascii="Arial" w:hAnsi="Arial" w:cs="Arial" w:eastAsia="Arial"/>
          <w:b/>
          <w:i w:val="0"/>
          <w:smallCaps w:val="0"/>
          <w:color w:val="155C58"/>
          <w:sz w:val="26"/>
          <w:u w:val="none"/>
        </w:rPr>
        <w:t>Platforms and Tools</w:t>
      </w:r>
    </w:p>
    <w:p>
      <w:pPr>
        <w:keepNext w:val="0"/>
        <w:widowControl/>
        <w:spacing w:before="0" w:after="60" w:line="247" w:lineRule="auto"/>
      </w:pPr>
      <w:r>
        <w:rPr>
          <w:rFonts w:ascii="Arial" w:hAnsi="Arial" w:cs="Arial" w:eastAsia="Arial"/>
          <w:b w:val="0"/>
          <w:i w:val="0"/>
          <w:smallCaps w:val="0"/>
          <w:color w:val="202729"/>
          <w:sz w:val="22"/>
          <w:u w:val="none"/>
        </w:rPr>
        <w:t>Claude Code; OpenAI Codex; ChatGPT; Git and pull-request review; Google Ads; Meta Ads; GA4; GTM; Looker Studio; Shopify; n8n; Asana.</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AI Strategy and Operations</dc:title>
  <dc:subject>Private resume design option</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