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1F4D78"/>
          <w:sz w:val="48"/>
        </w:rPr>
        <w:t>EPICARE BACKEND</w:t>
      </w:r>
    </w:p>
    <w:p>
      <w:pPr>
        <w:spacing w:after="320"/>
      </w:pPr>
      <w:r>
        <w:rPr>
          <w:rFonts w:ascii="Calibri" w:hAnsi="Calibri"/>
          <w:b w:val="0"/>
          <w:color w:val="5A626C"/>
          <w:sz w:val="28"/>
        </w:rPr>
        <w:t>AI-Driven Seizure Monitoring Integration Report</w:t>
      </w:r>
    </w:p>
    <w:p>
      <w:pPr>
        <w:spacing w:after="40"/>
      </w:pPr>
      <w:r>
        <w:rPr>
          <w:rFonts w:ascii="Calibri" w:hAnsi="Calibri"/>
          <w:b/>
          <w:sz w:val="22"/>
        </w:rPr>
        <w:t xml:space="preserve">Prepared for: </w:t>
      </w:r>
      <w:r>
        <w:rPr>
          <w:rFonts w:ascii="Calibri" w:hAnsi="Calibri"/>
          <w:b w:val="0"/>
          <w:sz w:val="22"/>
        </w:rPr>
        <w:t>Client technical handoff</w:t>
      </w:r>
    </w:p>
    <w:p>
      <w:pPr>
        <w:spacing w:after="40"/>
      </w:pPr>
      <w:r>
        <w:rPr>
          <w:rFonts w:ascii="Calibri" w:hAnsi="Calibri"/>
          <w:b/>
          <w:sz w:val="22"/>
        </w:rPr>
        <w:t xml:space="preserve">Scope: </w:t>
      </w:r>
      <w:r>
        <w:rPr>
          <w:rFonts w:ascii="Calibri" w:hAnsi="Calibri"/>
          <w:b w:val="0"/>
          <w:sz w:val="22"/>
        </w:rPr>
        <w:t>Backend API, AI decision pipeline, IoT Bridge, and Proteus/Arduino integration</w:t>
      </w:r>
    </w:p>
    <w:p>
      <w:pPr>
        <w:spacing w:after="40"/>
      </w:pPr>
      <w:r>
        <w:rPr>
          <w:rFonts w:ascii="Calibri" w:hAnsi="Calibri"/>
          <w:b/>
          <w:sz w:val="22"/>
        </w:rPr>
        <w:t xml:space="preserve">Delivery date: </w:t>
      </w:r>
      <w:r>
        <w:rPr>
          <w:rFonts w:ascii="Calibri" w:hAnsi="Calibri"/>
          <w:b w:val="0"/>
          <w:sz w:val="22"/>
        </w:rPr>
        <w:t>23 June 2026</w:t>
      </w:r>
    </w:p>
    <w:p>
      <w:pPr>
        <w:spacing w:after="40"/>
      </w:pPr>
      <w:r>
        <w:rPr>
          <w:rFonts w:ascii="Calibri" w:hAnsi="Calibri"/>
          <w:b/>
          <w:sz w:val="22"/>
        </w:rPr>
        <w:t xml:space="preserve">Status: </w:t>
      </w:r>
      <w:r>
        <w:rPr>
          <w:rFonts w:ascii="Calibri" w:hAnsi="Calibri"/>
          <w:b w:val="0"/>
          <w:sz w:val="22"/>
        </w:rPr>
        <w:t>Implementation complete; .NET 8 compilation verification pending on an SDK-enabled machine</w:t>
      </w:r>
    </w:p>
    <w:p>
      <w:pPr>
        <w:pStyle w:val="Heading1"/>
      </w:pPr>
      <w:r>
        <w:t>Executive summary</w:t>
      </w:r>
    </w:p>
    <w:p>
      <w:r>
        <w:rPr>
          <w:rFonts w:ascii="Calibri" w:hAnsi="Calibri"/>
          <w:b w:val="0"/>
          <w:sz w:val="22"/>
        </w:rPr>
        <w:t>The monitoring flow has been revised so the AI model and raw sensor signals are the default source of truth. Proteus no longer needs to send a preselected Normal, Warning, or Seizure answer during normal operation. A separate demo override remains available for deterministic presentations.</w:t>
      </w:r>
    </w:p>
    <w:p>
      <w:pPr>
        <w:pStyle w:val="Heading1"/>
      </w:pPr>
      <w:r>
        <w:t>Updated architecture</w:t>
      </w:r>
    </w:p>
    <w:tbl>
      <w:tblPr>
        <w:tblStyle w:val="TableGrid"/>
        <w:tblW w:type="dxa" w:w="9360"/>
        <w:jc w:val="left"/>
        <w:tblLayout w:type="fixed"/>
        <w:tblLook w:firstColumn="1" w:firstRow="1" w:lastColumn="0" w:lastRow="0" w:noHBand="0" w:noVBand="1" w:val="04A0"/>
        <w:tblInd w:w="120" w:type="dxa"/>
      </w:tblPr>
      <w:tblGrid>
        <w:gridCol w:w="700"/>
        <w:gridCol w:w="2100"/>
        <w:gridCol w:w="6560"/>
      </w:tblGrid>
      <w:tr>
        <w:tc>
          <w:tcPr>
            <w:tcW w:type="dxa" w:w="700"/>
            <w:shd w:fill="F2F4F7"/>
            <w:vAlign w:val="center"/>
            <w:tcMar>
              <w:top w:w="80" w:type="dxa"/>
              <w:start w:w="120" w:type="dxa"/>
              <w:bottom w:w="80" w:type="dxa"/>
              <w:end w:w="120" w:type="dxa"/>
            </w:tcMar>
          </w:tcPr>
          <w:p>
            <w:pPr>
              <w:spacing w:after="0"/>
            </w:pPr>
            <w:r>
              <w:rPr>
                <w:rFonts w:ascii="Calibri" w:hAnsi="Calibri"/>
                <w:b/>
                <w:color w:val="1F4D78"/>
                <w:sz w:val="22"/>
              </w:rPr>
              <w:t>Step</w:t>
            </w:r>
          </w:p>
        </w:tc>
        <w:tc>
          <w:tcPr>
            <w:tcW w:type="dxa" w:w="2100"/>
            <w:shd w:fill="F2F4F7"/>
            <w:vAlign w:val="center"/>
            <w:tcMar>
              <w:top w:w="80" w:type="dxa"/>
              <w:start w:w="120" w:type="dxa"/>
              <w:bottom w:w="80" w:type="dxa"/>
              <w:end w:w="120" w:type="dxa"/>
            </w:tcMar>
          </w:tcPr>
          <w:p>
            <w:pPr>
              <w:spacing w:after="0"/>
            </w:pPr>
            <w:r>
              <w:rPr>
                <w:rFonts w:ascii="Calibri" w:hAnsi="Calibri"/>
                <w:b/>
                <w:color w:val="1F4D78"/>
                <w:sz w:val="22"/>
              </w:rPr>
              <w:t>Component</w:t>
            </w:r>
          </w:p>
        </w:tc>
        <w:tc>
          <w:tcPr>
            <w:tcW w:type="dxa" w:w="6560"/>
            <w:shd w:fill="F2F4F7"/>
            <w:vAlign w:val="center"/>
            <w:tcMar>
              <w:top w:w="80" w:type="dxa"/>
              <w:start w:w="120" w:type="dxa"/>
              <w:bottom w:w="80" w:type="dxa"/>
              <w:end w:w="120" w:type="dxa"/>
            </w:tcMar>
          </w:tcPr>
          <w:p>
            <w:pPr>
              <w:spacing w:after="0"/>
            </w:pPr>
            <w:r>
              <w:rPr>
                <w:rFonts w:ascii="Calibri" w:hAnsi="Calibri"/>
                <w:b/>
                <w:color w:val="1F4D78"/>
                <w:sz w:val="22"/>
              </w:rPr>
              <w:t>Responsibility</w:t>
            </w:r>
          </w:p>
        </w:tc>
      </w:tr>
      <w:tr>
        <w:tc>
          <w:tcPr>
            <w:tcW w:type="dxa" w:w="700"/>
            <w:vAlign w:val="center"/>
            <w:tcMar>
              <w:top w:w="80" w:type="dxa"/>
              <w:start w:w="120" w:type="dxa"/>
              <w:bottom w:w="80" w:type="dxa"/>
              <w:end w:w="120" w:type="dxa"/>
            </w:tcMar>
          </w:tcPr>
          <w:p>
            <w:pPr>
              <w:spacing w:after="0"/>
            </w:pPr>
            <w:r>
              <w:rPr>
                <w:rFonts w:ascii="Calibri" w:hAnsi="Calibri"/>
                <w:b w:val="0"/>
                <w:sz w:val="21"/>
              </w:rPr>
              <w:t>1</w:t>
            </w:r>
          </w:p>
        </w:tc>
        <w:tc>
          <w:tcPr>
            <w:tcW w:type="dxa" w:w="2100"/>
            <w:vAlign w:val="center"/>
            <w:tcMar>
              <w:top w:w="80" w:type="dxa"/>
              <w:start w:w="120" w:type="dxa"/>
              <w:bottom w:w="80" w:type="dxa"/>
              <w:end w:w="120" w:type="dxa"/>
            </w:tcMar>
          </w:tcPr>
          <w:p>
            <w:pPr>
              <w:spacing w:after="0"/>
            </w:pPr>
            <w:r>
              <w:rPr>
                <w:rFonts w:ascii="Calibri" w:hAnsi="Calibri"/>
                <w:b w:val="0"/>
                <w:sz w:val="21"/>
              </w:rPr>
              <w:t>Proteus / Arduino</w:t>
            </w:r>
          </w:p>
        </w:tc>
        <w:tc>
          <w:tcPr>
            <w:tcW w:type="dxa" w:w="6560"/>
            <w:vAlign w:val="center"/>
            <w:tcMar>
              <w:top w:w="80" w:type="dxa"/>
              <w:start w:w="120" w:type="dxa"/>
              <w:bottom w:w="80" w:type="dxa"/>
              <w:end w:w="120" w:type="dxa"/>
            </w:tcMar>
          </w:tcPr>
          <w:p>
            <w:pPr>
              <w:spacing w:after="0"/>
            </w:pPr>
            <w:r>
              <w:rPr>
                <w:rFonts w:ascii="Calibri" w:hAnsi="Calibri"/>
                <w:b w:val="0"/>
                <w:sz w:val="21"/>
              </w:rPr>
              <w:t>Sends raw EEG, ECG, EMG, and ACC readings.</w:t>
            </w:r>
          </w:p>
        </w:tc>
      </w:tr>
      <w:tr>
        <w:tc>
          <w:tcPr>
            <w:tcW w:type="dxa" w:w="700"/>
            <w:vAlign w:val="center"/>
            <w:tcMar>
              <w:top w:w="80" w:type="dxa"/>
              <w:start w:w="120" w:type="dxa"/>
              <w:bottom w:w="80" w:type="dxa"/>
              <w:end w:w="120" w:type="dxa"/>
            </w:tcMar>
          </w:tcPr>
          <w:p>
            <w:pPr>
              <w:spacing w:after="0"/>
            </w:pPr>
            <w:r>
              <w:rPr>
                <w:rFonts w:ascii="Calibri" w:hAnsi="Calibri"/>
                <w:b w:val="0"/>
                <w:sz w:val="21"/>
              </w:rPr>
              <w:t>2</w:t>
            </w:r>
          </w:p>
        </w:tc>
        <w:tc>
          <w:tcPr>
            <w:tcW w:type="dxa" w:w="2100"/>
            <w:vAlign w:val="center"/>
            <w:tcMar>
              <w:top w:w="80" w:type="dxa"/>
              <w:start w:w="120" w:type="dxa"/>
              <w:bottom w:w="80" w:type="dxa"/>
              <w:end w:w="120" w:type="dxa"/>
            </w:tcMar>
          </w:tcPr>
          <w:p>
            <w:pPr>
              <w:spacing w:after="0"/>
            </w:pPr>
            <w:r>
              <w:rPr>
                <w:rFonts w:ascii="Calibri" w:hAnsi="Calibri"/>
                <w:b w:val="0"/>
                <w:sz w:val="21"/>
              </w:rPr>
              <w:t>IoT Bridge</w:t>
            </w:r>
          </w:p>
        </w:tc>
        <w:tc>
          <w:tcPr>
            <w:tcW w:type="dxa" w:w="6560"/>
            <w:vAlign w:val="center"/>
            <w:tcMar>
              <w:top w:w="80" w:type="dxa"/>
              <w:start w:w="120" w:type="dxa"/>
              <w:bottom w:w="80" w:type="dxa"/>
              <w:end w:w="120" w:type="dxa"/>
            </w:tcMar>
          </w:tcPr>
          <w:p>
            <w:pPr>
              <w:spacing w:after="0"/>
            </w:pPr>
            <w:r>
              <w:rPr>
                <w:rFonts w:ascii="Calibri" w:hAnsi="Calibri"/>
                <w:b w:val="0"/>
                <w:sz w:val="21"/>
              </w:rPr>
              <w:t>Forwards readings to the backend and returns device commands when write-back is enabled.</w:t>
            </w:r>
          </w:p>
        </w:tc>
      </w:tr>
      <w:tr>
        <w:tc>
          <w:tcPr>
            <w:tcW w:type="dxa" w:w="700"/>
            <w:vAlign w:val="center"/>
            <w:tcMar>
              <w:top w:w="80" w:type="dxa"/>
              <w:start w:w="120" w:type="dxa"/>
              <w:bottom w:w="80" w:type="dxa"/>
              <w:end w:w="120" w:type="dxa"/>
            </w:tcMar>
          </w:tcPr>
          <w:p>
            <w:pPr>
              <w:spacing w:after="0"/>
            </w:pPr>
            <w:r>
              <w:rPr>
                <w:rFonts w:ascii="Calibri" w:hAnsi="Calibri"/>
                <w:b w:val="0"/>
                <w:sz w:val="21"/>
              </w:rPr>
              <w:t>3</w:t>
            </w:r>
          </w:p>
        </w:tc>
        <w:tc>
          <w:tcPr>
            <w:tcW w:type="dxa" w:w="2100"/>
            <w:vAlign w:val="center"/>
            <w:tcMar>
              <w:top w:w="80" w:type="dxa"/>
              <w:start w:w="120" w:type="dxa"/>
              <w:bottom w:w="80" w:type="dxa"/>
              <w:end w:w="120" w:type="dxa"/>
            </w:tcMar>
          </w:tcPr>
          <w:p>
            <w:pPr>
              <w:spacing w:after="0"/>
            </w:pPr>
            <w:r>
              <w:rPr>
                <w:rFonts w:ascii="Calibri" w:hAnsi="Calibri"/>
                <w:b w:val="0"/>
                <w:sz w:val="21"/>
              </w:rPr>
              <w:t>Backend API</w:t>
            </w:r>
          </w:p>
        </w:tc>
        <w:tc>
          <w:tcPr>
            <w:tcW w:type="dxa" w:w="6560"/>
            <w:vAlign w:val="center"/>
            <w:tcMar>
              <w:top w:w="80" w:type="dxa"/>
              <w:start w:w="120" w:type="dxa"/>
              <w:bottom w:w="80" w:type="dxa"/>
              <w:end w:w="120" w:type="dxa"/>
            </w:tcMar>
          </w:tcPr>
          <w:p>
            <w:pPr>
              <w:spacing w:after="0"/>
            </w:pPr>
            <w:r>
              <w:rPr>
                <w:rFonts w:ascii="Calibri" w:hAnsi="Calibri"/>
                <w:b w:val="0"/>
                <w:sz w:val="21"/>
              </w:rPr>
              <w:t>Builds the model input window and calls the AI prediction endpoint.</w:t>
            </w:r>
          </w:p>
        </w:tc>
      </w:tr>
      <w:tr>
        <w:tc>
          <w:tcPr>
            <w:tcW w:type="dxa" w:w="700"/>
            <w:vAlign w:val="center"/>
            <w:tcMar>
              <w:top w:w="80" w:type="dxa"/>
              <w:start w:w="120" w:type="dxa"/>
              <w:bottom w:w="80" w:type="dxa"/>
              <w:end w:w="120" w:type="dxa"/>
            </w:tcMar>
          </w:tcPr>
          <w:p>
            <w:pPr>
              <w:spacing w:after="0"/>
            </w:pPr>
            <w:r>
              <w:rPr>
                <w:rFonts w:ascii="Calibri" w:hAnsi="Calibri"/>
                <w:b w:val="0"/>
                <w:sz w:val="21"/>
              </w:rPr>
              <w:t>4</w:t>
            </w:r>
          </w:p>
        </w:tc>
        <w:tc>
          <w:tcPr>
            <w:tcW w:type="dxa" w:w="2100"/>
            <w:vAlign w:val="center"/>
            <w:tcMar>
              <w:top w:w="80" w:type="dxa"/>
              <w:start w:w="120" w:type="dxa"/>
              <w:bottom w:w="80" w:type="dxa"/>
              <w:end w:w="120" w:type="dxa"/>
            </w:tcMar>
          </w:tcPr>
          <w:p>
            <w:pPr>
              <w:spacing w:after="0"/>
            </w:pPr>
            <w:r>
              <w:rPr>
                <w:rFonts w:ascii="Calibri" w:hAnsi="Calibri"/>
                <w:b w:val="0"/>
                <w:sz w:val="21"/>
              </w:rPr>
              <w:t>Decision Service</w:t>
            </w:r>
          </w:p>
        </w:tc>
        <w:tc>
          <w:tcPr>
            <w:tcW w:type="dxa" w:w="6560"/>
            <w:vAlign w:val="center"/>
            <w:tcMar>
              <w:top w:w="80" w:type="dxa"/>
              <w:start w:w="120" w:type="dxa"/>
              <w:bottom w:w="80" w:type="dxa"/>
              <w:end w:w="120" w:type="dxa"/>
            </w:tcMar>
          </w:tcPr>
          <w:p>
            <w:pPr>
              <w:spacing w:after="0"/>
            </w:pPr>
            <w:r>
              <w:rPr>
                <w:rFonts w:ascii="Calibri" w:hAnsi="Calibri"/>
                <w:b w:val="0"/>
                <w:sz w:val="21"/>
              </w:rPr>
              <w:t>Combines AI risk with calibrated movement detection.</w:t>
            </w:r>
          </w:p>
        </w:tc>
      </w:tr>
      <w:tr>
        <w:tc>
          <w:tcPr>
            <w:tcW w:type="dxa" w:w="700"/>
            <w:vAlign w:val="center"/>
            <w:tcMar>
              <w:top w:w="80" w:type="dxa"/>
              <w:start w:w="120" w:type="dxa"/>
              <w:bottom w:w="80" w:type="dxa"/>
              <w:end w:w="120" w:type="dxa"/>
            </w:tcMar>
          </w:tcPr>
          <w:p>
            <w:pPr>
              <w:spacing w:after="0"/>
            </w:pPr>
            <w:r>
              <w:rPr>
                <w:rFonts w:ascii="Calibri" w:hAnsi="Calibri"/>
                <w:b w:val="0"/>
                <w:sz w:val="21"/>
              </w:rPr>
              <w:t>5</w:t>
            </w:r>
          </w:p>
        </w:tc>
        <w:tc>
          <w:tcPr>
            <w:tcW w:type="dxa" w:w="2100"/>
            <w:vAlign w:val="center"/>
            <w:tcMar>
              <w:top w:w="80" w:type="dxa"/>
              <w:start w:w="120" w:type="dxa"/>
              <w:bottom w:w="80" w:type="dxa"/>
              <w:end w:w="120" w:type="dxa"/>
            </w:tcMar>
          </w:tcPr>
          <w:p>
            <w:pPr>
              <w:spacing w:after="0"/>
            </w:pPr>
            <w:r>
              <w:rPr>
                <w:rFonts w:ascii="Calibri" w:hAnsi="Calibri"/>
                <w:b w:val="0"/>
                <w:sz w:val="21"/>
              </w:rPr>
              <w:t>Arduino outputs</w:t>
            </w:r>
          </w:p>
        </w:tc>
        <w:tc>
          <w:tcPr>
            <w:tcW w:type="dxa" w:w="6560"/>
            <w:vAlign w:val="center"/>
            <w:tcMar>
              <w:top w:w="80" w:type="dxa"/>
              <w:start w:w="120" w:type="dxa"/>
              <w:bottom w:w="80" w:type="dxa"/>
              <w:end w:w="120" w:type="dxa"/>
            </w:tcMar>
          </w:tcPr>
          <w:p>
            <w:pPr>
              <w:spacing w:after="0"/>
            </w:pPr>
            <w:r>
              <w:rPr>
                <w:rFonts w:ascii="Calibri" w:hAnsi="Calibri"/>
                <w:b w:val="0"/>
                <w:sz w:val="21"/>
              </w:rPr>
              <w:t>Receives N, P, or S to drive the LED and motor behavior.</w:t>
            </w:r>
          </w:p>
        </w:tc>
      </w:tr>
    </w:tbl>
    <w:p>
      <w:pPr>
        <w:spacing w:after="0"/>
      </w:pPr>
    </w:p>
    <w:p>
      <w:pPr>
        <w:pStyle w:val="Heading1"/>
      </w:pPr>
      <w:r>
        <w:t>Decision rules</w:t>
      </w:r>
    </w:p>
    <w:tbl>
      <w:tblPr>
        <w:tblStyle w:val="TableGrid"/>
        <w:tblW w:type="dxa" w:w="9360"/>
        <w:jc w:val="left"/>
        <w:tblLayout w:type="fixed"/>
        <w:tblLook w:firstColumn="1" w:firstRow="1" w:lastColumn="0" w:lastRow="0" w:noHBand="0" w:noVBand="1" w:val="04A0"/>
        <w:tblInd w:w="120" w:type="dxa"/>
      </w:tblPr>
      <w:tblGrid>
        <w:gridCol w:w="4800"/>
        <w:gridCol w:w="2460"/>
        <w:gridCol w:w="2100"/>
      </w:tblGrid>
      <w:tr>
        <w:tc>
          <w:tcPr>
            <w:tcW w:type="dxa" w:w="4800"/>
            <w:shd w:fill="F2F4F7"/>
            <w:vAlign w:val="center"/>
            <w:tcMar>
              <w:top w:w="80" w:type="dxa"/>
              <w:start w:w="120" w:type="dxa"/>
              <w:bottom w:w="80" w:type="dxa"/>
              <w:end w:w="120" w:type="dxa"/>
            </w:tcMar>
          </w:tcPr>
          <w:p>
            <w:pPr>
              <w:spacing w:after="0"/>
            </w:pPr>
            <w:r>
              <w:rPr>
                <w:rFonts w:ascii="Calibri" w:hAnsi="Calibri"/>
                <w:b/>
                <w:color w:val="1F4D78"/>
                <w:sz w:val="22"/>
              </w:rPr>
              <w:t>Input condition</w:t>
            </w:r>
          </w:p>
        </w:tc>
        <w:tc>
          <w:tcPr>
            <w:tcW w:type="dxa" w:w="2460"/>
            <w:shd w:fill="F2F4F7"/>
            <w:vAlign w:val="center"/>
            <w:tcMar>
              <w:top w:w="80" w:type="dxa"/>
              <w:start w:w="120" w:type="dxa"/>
              <w:bottom w:w="80" w:type="dxa"/>
              <w:end w:w="120" w:type="dxa"/>
            </w:tcMar>
          </w:tcPr>
          <w:p>
            <w:pPr>
              <w:spacing w:after="0"/>
            </w:pPr>
            <w:r>
              <w:rPr>
                <w:rFonts w:ascii="Calibri" w:hAnsi="Calibri"/>
                <w:b/>
                <w:color w:val="1F4D78"/>
                <w:sz w:val="22"/>
              </w:rPr>
              <w:t>Result</w:t>
            </w:r>
          </w:p>
        </w:tc>
        <w:tc>
          <w:tcPr>
            <w:tcW w:type="dxa" w:w="2100"/>
            <w:shd w:fill="F2F4F7"/>
            <w:vAlign w:val="center"/>
            <w:tcMar>
              <w:top w:w="80" w:type="dxa"/>
              <w:start w:w="120" w:type="dxa"/>
              <w:bottom w:w="80" w:type="dxa"/>
              <w:end w:w="120" w:type="dxa"/>
            </w:tcMar>
          </w:tcPr>
          <w:p>
            <w:pPr>
              <w:spacing w:after="0"/>
            </w:pPr>
            <w:r>
              <w:rPr>
                <w:rFonts w:ascii="Calibri" w:hAnsi="Calibri"/>
                <w:b/>
                <w:color w:val="1F4D78"/>
                <w:sz w:val="22"/>
              </w:rPr>
              <w:t>Device command</w:t>
            </w:r>
          </w:p>
        </w:tc>
      </w:tr>
      <w:tr>
        <w:tc>
          <w:tcPr>
            <w:tcW w:type="dxa" w:w="4800"/>
            <w:vAlign w:val="center"/>
            <w:tcMar>
              <w:top w:w="80" w:type="dxa"/>
              <w:start w:w="120" w:type="dxa"/>
              <w:bottom w:w="80" w:type="dxa"/>
              <w:end w:w="120" w:type="dxa"/>
            </w:tcMar>
          </w:tcPr>
          <w:p>
            <w:pPr>
              <w:spacing w:after="0"/>
            </w:pPr>
            <w:r>
              <w:rPr>
                <w:rFonts w:ascii="Calibri" w:hAnsi="Calibri"/>
                <w:b w:val="0"/>
                <w:sz w:val="21"/>
              </w:rPr>
              <w:t>AI result is Normal and below the configured risk threshold</w:t>
            </w:r>
          </w:p>
        </w:tc>
        <w:tc>
          <w:tcPr>
            <w:tcW w:type="dxa" w:w="2460"/>
            <w:vAlign w:val="center"/>
            <w:tcMar>
              <w:top w:w="80" w:type="dxa"/>
              <w:start w:w="120" w:type="dxa"/>
              <w:bottom w:w="80" w:type="dxa"/>
              <w:end w:w="120" w:type="dxa"/>
            </w:tcMar>
          </w:tcPr>
          <w:p>
            <w:pPr>
              <w:spacing w:after="0"/>
            </w:pPr>
            <w:r>
              <w:rPr>
                <w:rFonts w:ascii="Calibri" w:hAnsi="Calibri"/>
                <w:b w:val="0"/>
                <w:sz w:val="21"/>
              </w:rPr>
              <w:t>Normal</w:t>
            </w:r>
          </w:p>
        </w:tc>
        <w:tc>
          <w:tcPr>
            <w:tcW w:type="dxa" w:w="2100"/>
            <w:vAlign w:val="center"/>
            <w:tcMar>
              <w:top w:w="80" w:type="dxa"/>
              <w:start w:w="120" w:type="dxa"/>
              <w:bottom w:w="80" w:type="dxa"/>
              <w:end w:w="120" w:type="dxa"/>
            </w:tcMar>
          </w:tcPr>
          <w:p>
            <w:pPr>
              <w:spacing w:after="0"/>
            </w:pPr>
            <w:r>
              <w:rPr>
                <w:rFonts w:ascii="Calibri" w:hAnsi="Calibri"/>
                <w:b w:val="0"/>
                <w:sz w:val="21"/>
              </w:rPr>
              <w:t>N</w:t>
            </w:r>
          </w:p>
        </w:tc>
      </w:tr>
      <w:tr>
        <w:tc>
          <w:tcPr>
            <w:tcW w:type="dxa" w:w="4800"/>
            <w:vAlign w:val="center"/>
            <w:tcMar>
              <w:top w:w="80" w:type="dxa"/>
              <w:start w:w="120" w:type="dxa"/>
              <w:bottom w:w="80" w:type="dxa"/>
              <w:end w:w="120" w:type="dxa"/>
            </w:tcMar>
          </w:tcPr>
          <w:p>
            <w:pPr>
              <w:spacing w:after="0"/>
            </w:pPr>
            <w:r>
              <w:rPr>
                <w:rFonts w:ascii="Calibri" w:hAnsi="Calibri"/>
                <w:b w:val="0"/>
                <w:sz w:val="21"/>
              </w:rPr>
              <w:t>AI returns final_prediction=1, Warning/Preictal, or exceeds the risk threshold</w:t>
            </w:r>
          </w:p>
        </w:tc>
        <w:tc>
          <w:tcPr>
            <w:tcW w:type="dxa" w:w="2460"/>
            <w:vAlign w:val="center"/>
            <w:tcMar>
              <w:top w:w="80" w:type="dxa"/>
              <w:start w:w="120" w:type="dxa"/>
              <w:bottom w:w="80" w:type="dxa"/>
              <w:end w:w="120" w:type="dxa"/>
            </w:tcMar>
          </w:tcPr>
          <w:p>
            <w:pPr>
              <w:spacing w:after="0"/>
            </w:pPr>
            <w:r>
              <w:rPr>
                <w:rFonts w:ascii="Calibri" w:hAnsi="Calibri"/>
                <w:b w:val="0"/>
                <w:sz w:val="21"/>
              </w:rPr>
              <w:t>High risk</w:t>
            </w:r>
          </w:p>
        </w:tc>
        <w:tc>
          <w:tcPr>
            <w:tcW w:type="dxa" w:w="2100"/>
            <w:vAlign w:val="center"/>
            <w:tcMar>
              <w:top w:w="80" w:type="dxa"/>
              <w:start w:w="120" w:type="dxa"/>
              <w:bottom w:w="80" w:type="dxa"/>
              <w:end w:w="120" w:type="dxa"/>
            </w:tcMar>
          </w:tcPr>
          <w:p>
            <w:pPr>
              <w:spacing w:after="0"/>
            </w:pPr>
            <w:r>
              <w:rPr>
                <w:rFonts w:ascii="Calibri" w:hAnsi="Calibri"/>
                <w:b w:val="0"/>
                <w:sz w:val="21"/>
              </w:rPr>
              <w:t>P</w:t>
            </w:r>
          </w:p>
        </w:tc>
      </w:tr>
      <w:tr>
        <w:tc>
          <w:tcPr>
            <w:tcW w:type="dxa" w:w="4800"/>
            <w:vAlign w:val="center"/>
            <w:tcMar>
              <w:top w:w="80" w:type="dxa"/>
              <w:start w:w="120" w:type="dxa"/>
              <w:bottom w:w="80" w:type="dxa"/>
              <w:end w:w="120" w:type="dxa"/>
            </w:tcMar>
          </w:tcPr>
          <w:p>
            <w:pPr>
              <w:spacing w:after="0"/>
            </w:pPr>
            <w:r>
              <w:rPr>
                <w:rFonts w:ascii="Calibri" w:hAnsi="Calibri"/>
                <w:b w:val="0"/>
                <w:sz w:val="21"/>
              </w:rPr>
              <w:t>AI detects high risk and ACC movement exceeds the calibrated threshold</w:t>
            </w:r>
          </w:p>
        </w:tc>
        <w:tc>
          <w:tcPr>
            <w:tcW w:type="dxa" w:w="2460"/>
            <w:vAlign w:val="center"/>
            <w:tcMar>
              <w:top w:w="80" w:type="dxa"/>
              <w:start w:w="120" w:type="dxa"/>
              <w:bottom w:w="80" w:type="dxa"/>
              <w:end w:w="120" w:type="dxa"/>
            </w:tcMar>
          </w:tcPr>
          <w:p>
            <w:pPr>
              <w:spacing w:after="0"/>
            </w:pPr>
            <w:r>
              <w:rPr>
                <w:rFonts w:ascii="Calibri" w:hAnsi="Calibri"/>
                <w:b w:val="0"/>
                <w:sz w:val="21"/>
              </w:rPr>
              <w:t>Seizure detected</w:t>
            </w:r>
          </w:p>
        </w:tc>
        <w:tc>
          <w:tcPr>
            <w:tcW w:type="dxa" w:w="2100"/>
            <w:vAlign w:val="center"/>
            <w:tcMar>
              <w:top w:w="80" w:type="dxa"/>
              <w:start w:w="120" w:type="dxa"/>
              <w:bottom w:w="80" w:type="dxa"/>
              <w:end w:w="120" w:type="dxa"/>
            </w:tcMar>
          </w:tcPr>
          <w:p>
            <w:pPr>
              <w:spacing w:after="0"/>
            </w:pPr>
            <w:r>
              <w:rPr>
                <w:rFonts w:ascii="Calibri" w:hAnsi="Calibri"/>
                <w:b w:val="0"/>
                <w:sz w:val="21"/>
              </w:rPr>
              <w:t>S</w:t>
            </w:r>
          </w:p>
        </w:tc>
      </w:tr>
      <w:tr>
        <w:tc>
          <w:tcPr>
            <w:tcW w:type="dxa" w:w="4800"/>
            <w:vAlign w:val="center"/>
            <w:tcMar>
              <w:top w:w="80" w:type="dxa"/>
              <w:start w:w="120" w:type="dxa"/>
              <w:bottom w:w="80" w:type="dxa"/>
              <w:end w:w="120" w:type="dxa"/>
            </w:tcMar>
          </w:tcPr>
          <w:p>
            <w:pPr>
              <w:spacing w:after="0"/>
            </w:pPr>
            <w:r>
              <w:rPr>
                <w:rFonts w:ascii="Calibri" w:hAnsi="Calibri"/>
                <w:b w:val="0"/>
                <w:sz w:val="21"/>
              </w:rPr>
              <w:t>AI returns an explicit Seizure or Ictal label</w:t>
            </w:r>
          </w:p>
        </w:tc>
        <w:tc>
          <w:tcPr>
            <w:tcW w:type="dxa" w:w="2460"/>
            <w:vAlign w:val="center"/>
            <w:tcMar>
              <w:top w:w="80" w:type="dxa"/>
              <w:start w:w="120" w:type="dxa"/>
              <w:bottom w:w="80" w:type="dxa"/>
              <w:end w:w="120" w:type="dxa"/>
            </w:tcMar>
          </w:tcPr>
          <w:p>
            <w:pPr>
              <w:spacing w:after="0"/>
            </w:pPr>
            <w:r>
              <w:rPr>
                <w:rFonts w:ascii="Calibri" w:hAnsi="Calibri"/>
                <w:b w:val="0"/>
                <w:sz w:val="21"/>
              </w:rPr>
              <w:t>Seizure detected</w:t>
            </w:r>
          </w:p>
        </w:tc>
        <w:tc>
          <w:tcPr>
            <w:tcW w:type="dxa" w:w="2100"/>
            <w:vAlign w:val="center"/>
            <w:tcMar>
              <w:top w:w="80" w:type="dxa"/>
              <w:start w:w="120" w:type="dxa"/>
              <w:bottom w:w="80" w:type="dxa"/>
              <w:end w:w="120" w:type="dxa"/>
            </w:tcMar>
          </w:tcPr>
          <w:p>
            <w:pPr>
              <w:spacing w:after="0"/>
            </w:pPr>
            <w:r>
              <w:rPr>
                <w:rFonts w:ascii="Calibri" w:hAnsi="Calibri"/>
                <w:b w:val="0"/>
                <w:sz w:val="21"/>
              </w:rPr>
              <w:t>S</w:t>
            </w:r>
          </w:p>
        </w:tc>
      </w:tr>
      <w:tr>
        <w:tc>
          <w:tcPr>
            <w:tcW w:type="dxa" w:w="4800"/>
            <w:vAlign w:val="center"/>
            <w:tcMar>
              <w:top w:w="80" w:type="dxa"/>
              <w:start w:w="120" w:type="dxa"/>
              <w:bottom w:w="80" w:type="dxa"/>
              <w:end w:w="120" w:type="dxa"/>
            </w:tcMar>
          </w:tcPr>
          <w:p>
            <w:pPr>
              <w:spacing w:after="0"/>
            </w:pPr>
            <w:r>
              <w:rPr>
                <w:rFonts w:ascii="Calibri" w:hAnsi="Calibri"/>
                <w:b w:val="0"/>
                <w:sz w:val="21"/>
              </w:rPr>
              <w:t>DemoMode=true and Proteus supplies P or S</w:t>
            </w:r>
          </w:p>
        </w:tc>
        <w:tc>
          <w:tcPr>
            <w:tcW w:type="dxa" w:w="2460"/>
            <w:vAlign w:val="center"/>
            <w:tcMar>
              <w:top w:w="80" w:type="dxa"/>
              <w:start w:w="120" w:type="dxa"/>
              <w:bottom w:w="80" w:type="dxa"/>
              <w:end w:w="120" w:type="dxa"/>
            </w:tcMar>
          </w:tcPr>
          <w:p>
            <w:pPr>
              <w:spacing w:after="0"/>
            </w:pPr>
            <w:r>
              <w:rPr>
                <w:rFonts w:ascii="Calibri" w:hAnsi="Calibri"/>
                <w:b w:val="0"/>
                <w:sz w:val="21"/>
              </w:rPr>
              <w:t>Forced demo state</w:t>
            </w:r>
          </w:p>
        </w:tc>
        <w:tc>
          <w:tcPr>
            <w:tcW w:type="dxa" w:w="2100"/>
            <w:vAlign w:val="center"/>
            <w:tcMar>
              <w:top w:w="80" w:type="dxa"/>
              <w:start w:w="120" w:type="dxa"/>
              <w:bottom w:w="80" w:type="dxa"/>
              <w:end w:w="120" w:type="dxa"/>
            </w:tcMar>
          </w:tcPr>
          <w:p>
            <w:pPr>
              <w:spacing w:after="0"/>
            </w:pPr>
            <w:r>
              <w:rPr>
                <w:rFonts w:ascii="Calibri" w:hAnsi="Calibri"/>
                <w:b w:val="0"/>
                <w:sz w:val="21"/>
              </w:rPr>
              <w:t>P or S</w:t>
            </w:r>
          </w:p>
        </w:tc>
      </w:tr>
    </w:tbl>
    <w:p>
      <w:pPr>
        <w:spacing w:after="0"/>
      </w:pPr>
    </w:p>
    <w:p>
      <w:pPr>
        <w:pStyle w:val="Heading1"/>
      </w:pPr>
      <w:r>
        <w:t>Safety and integrity changes</w:t>
      </w:r>
    </w:p>
    <w:p>
      <w:r>
        <w:rPr>
          <w:rFonts w:ascii="Calibri" w:hAnsi="Calibri"/>
          <w:b/>
          <w:sz w:val="22"/>
        </w:rPr>
        <w:t xml:space="preserve">Simulator isolation. </w:t>
      </w:r>
      <w:r>
        <w:rPr>
          <w:rFonts w:ascii="Calibri" w:hAnsi="Calibri"/>
          <w:b w:val="0"/>
          <w:sz w:val="22"/>
        </w:rPr>
      </w:r>
      <w:r>
        <w:t>Embedded Proteus state values are ignored when DemoMode is disabled.</w:t>
      </w:r>
    </w:p>
    <w:p>
      <w:r>
        <w:rPr>
          <w:rFonts w:ascii="Calibri" w:hAnsi="Calibri"/>
          <w:b/>
          <w:sz w:val="22"/>
        </w:rPr>
        <w:t xml:space="preserve">Fallback isolation. </w:t>
      </w:r>
      <w:r>
        <w:rPr>
          <w:rFonts w:ascii="Calibri" w:hAnsi="Calibri"/>
          <w:b w:val="0"/>
          <w:sz w:val="22"/>
        </w:rPr>
      </w:r>
      <w:r>
        <w:t>AI HTTP failures now return a neutral unavailable result and do not copy the simulator answer into the AI result.</w:t>
      </w:r>
    </w:p>
    <w:p>
      <w:r>
        <w:rPr>
          <w:rFonts w:ascii="Calibri" w:hAnsi="Calibri"/>
          <w:b/>
          <w:sz w:val="22"/>
        </w:rPr>
        <w:t xml:space="preserve">Movement validation. </w:t>
      </w:r>
      <w:r>
        <w:rPr>
          <w:rFonts w:ascii="Calibri" w:hAnsi="Calibri"/>
          <w:b w:val="0"/>
          <w:sz w:val="22"/>
        </w:rPr>
      </w:r>
      <w:r>
        <w:t>The presence of an ACC array alone no longer triggers a seizure. Horizontal movement and vertical deviation from the configured gravity baseline are evaluated against a threshold.</w:t>
      </w:r>
    </w:p>
    <w:p>
      <w:r>
        <w:rPr>
          <w:rFonts w:ascii="Calibri" w:hAnsi="Calibri"/>
          <w:b/>
          <w:sz w:val="22"/>
        </w:rPr>
        <w:t xml:space="preserve">Raw data output. </w:t>
      </w:r>
      <w:r>
        <w:rPr>
          <w:rFonts w:ascii="Calibri" w:hAnsi="Calibri"/>
          <w:b w:val="0"/>
          <w:sz w:val="22"/>
        </w:rPr>
      </w:r>
      <w:r>
        <w:t>The Arduino sketch sends ACC data in all states and omits the internal state label by default, preventing label leakage.</w:t>
      </w:r>
    </w:p>
    <w:p>
      <w:pPr>
        <w:pStyle w:val="Heading1"/>
      </w:pPr>
      <w:r>
        <w:t>Configuration</w:t>
      </w:r>
    </w:p>
    <w:tbl>
      <w:tblPr>
        <w:tblStyle w:val="TableGrid"/>
        <w:tblW w:type="dxa" w:w="9360"/>
        <w:jc w:val="left"/>
        <w:tblLayout w:type="fixed"/>
        <w:tblLook w:firstColumn="1" w:firstRow="1" w:lastColumn="0" w:lastRow="0" w:noHBand="0" w:noVBand="1" w:val="04A0"/>
        <w:tblInd w:w="120" w:type="dxa"/>
      </w:tblPr>
      <w:tblGrid>
        <w:gridCol w:w="3300"/>
        <w:gridCol w:w="1200"/>
        <w:gridCol w:w="4860"/>
      </w:tblGrid>
      <w:tr>
        <w:tc>
          <w:tcPr>
            <w:tcW w:type="dxa" w:w="3300"/>
            <w:shd w:fill="F2F4F7"/>
            <w:vAlign w:val="center"/>
            <w:tcMar>
              <w:top w:w="80" w:type="dxa"/>
              <w:start w:w="120" w:type="dxa"/>
              <w:bottom w:w="80" w:type="dxa"/>
              <w:end w:w="120" w:type="dxa"/>
            </w:tcMar>
          </w:tcPr>
          <w:p>
            <w:pPr>
              <w:spacing w:after="0"/>
            </w:pPr>
            <w:r>
              <w:rPr>
                <w:rFonts w:ascii="Calibri" w:hAnsi="Calibri"/>
                <w:b/>
                <w:color w:val="1F4D78"/>
                <w:sz w:val="22"/>
              </w:rPr>
              <w:t>Setting</w:t>
            </w:r>
          </w:p>
        </w:tc>
        <w:tc>
          <w:tcPr>
            <w:tcW w:type="dxa" w:w="1200"/>
            <w:shd w:fill="F2F4F7"/>
            <w:vAlign w:val="center"/>
            <w:tcMar>
              <w:top w:w="80" w:type="dxa"/>
              <w:start w:w="120" w:type="dxa"/>
              <w:bottom w:w="80" w:type="dxa"/>
              <w:end w:w="120" w:type="dxa"/>
            </w:tcMar>
          </w:tcPr>
          <w:p>
            <w:pPr>
              <w:spacing w:after="0"/>
            </w:pPr>
            <w:r>
              <w:rPr>
                <w:rFonts w:ascii="Calibri" w:hAnsi="Calibri"/>
                <w:b/>
                <w:color w:val="1F4D78"/>
                <w:sz w:val="22"/>
              </w:rPr>
              <w:t>Default</w:t>
            </w:r>
          </w:p>
        </w:tc>
        <w:tc>
          <w:tcPr>
            <w:tcW w:type="dxa" w:w="4860"/>
            <w:shd w:fill="F2F4F7"/>
            <w:vAlign w:val="center"/>
            <w:tcMar>
              <w:top w:w="80" w:type="dxa"/>
              <w:start w:w="120" w:type="dxa"/>
              <w:bottom w:w="80" w:type="dxa"/>
              <w:end w:w="120" w:type="dxa"/>
            </w:tcMar>
          </w:tcPr>
          <w:p>
            <w:pPr>
              <w:spacing w:after="0"/>
            </w:pPr>
            <w:r>
              <w:rPr>
                <w:rFonts w:ascii="Calibri" w:hAnsi="Calibri"/>
                <w:b/>
                <w:color w:val="1F4D78"/>
                <w:sz w:val="22"/>
              </w:rPr>
              <w:t>Purpose</w:t>
            </w:r>
          </w:p>
        </w:tc>
      </w:tr>
      <w:tr>
        <w:tc>
          <w:tcPr>
            <w:tcW w:type="dxa" w:w="3300"/>
            <w:vAlign w:val="center"/>
            <w:tcMar>
              <w:top w:w="80" w:type="dxa"/>
              <w:start w:w="120" w:type="dxa"/>
              <w:bottom w:w="80" w:type="dxa"/>
              <w:end w:w="120" w:type="dxa"/>
            </w:tcMar>
          </w:tcPr>
          <w:p>
            <w:pPr>
              <w:spacing w:after="0"/>
            </w:pPr>
            <w:r>
              <w:rPr>
                <w:rFonts w:ascii="Calibri" w:hAnsi="Calibri"/>
                <w:b w:val="0"/>
                <w:sz w:val="21"/>
              </w:rPr>
              <w:t>Decision__DemoMode</w:t>
            </w:r>
          </w:p>
        </w:tc>
        <w:tc>
          <w:tcPr>
            <w:tcW w:type="dxa" w:w="1200"/>
            <w:vAlign w:val="center"/>
            <w:tcMar>
              <w:top w:w="80" w:type="dxa"/>
              <w:start w:w="120" w:type="dxa"/>
              <w:bottom w:w="80" w:type="dxa"/>
              <w:end w:w="120" w:type="dxa"/>
            </w:tcMar>
          </w:tcPr>
          <w:p>
            <w:pPr>
              <w:spacing w:after="0"/>
            </w:pPr>
            <w:r>
              <w:rPr>
                <w:rFonts w:ascii="Calibri" w:hAnsi="Calibri"/>
                <w:b w:val="0"/>
                <w:sz w:val="21"/>
              </w:rPr>
              <w:t>false</w:t>
            </w:r>
          </w:p>
        </w:tc>
        <w:tc>
          <w:tcPr>
            <w:tcW w:type="dxa" w:w="4860"/>
            <w:vAlign w:val="center"/>
            <w:tcMar>
              <w:top w:w="80" w:type="dxa"/>
              <w:start w:w="120" w:type="dxa"/>
              <w:bottom w:w="80" w:type="dxa"/>
              <w:end w:w="120" w:type="dxa"/>
            </w:tcMar>
          </w:tcPr>
          <w:p>
            <w:pPr>
              <w:spacing w:after="0"/>
            </w:pPr>
            <w:r>
              <w:rPr>
                <w:rFonts w:ascii="Calibri" w:hAnsi="Calibri"/>
                <w:b w:val="0"/>
                <w:sz w:val="21"/>
              </w:rPr>
              <w:t>Enables deterministic simulator overrides only when explicitly required.</w:t>
            </w:r>
          </w:p>
        </w:tc>
      </w:tr>
      <w:tr>
        <w:tc>
          <w:tcPr>
            <w:tcW w:type="dxa" w:w="3300"/>
            <w:vAlign w:val="center"/>
            <w:tcMar>
              <w:top w:w="80" w:type="dxa"/>
              <w:start w:w="120" w:type="dxa"/>
              <w:bottom w:w="80" w:type="dxa"/>
              <w:end w:w="120" w:type="dxa"/>
            </w:tcMar>
          </w:tcPr>
          <w:p>
            <w:pPr>
              <w:spacing w:after="0"/>
            </w:pPr>
            <w:r>
              <w:rPr>
                <w:rFonts w:ascii="Calibri" w:hAnsi="Calibri"/>
                <w:b w:val="0"/>
                <w:sz w:val="21"/>
              </w:rPr>
              <w:t>Decision__AccGravityBaseline</w:t>
            </w:r>
          </w:p>
        </w:tc>
        <w:tc>
          <w:tcPr>
            <w:tcW w:type="dxa" w:w="1200"/>
            <w:vAlign w:val="center"/>
            <w:tcMar>
              <w:top w:w="80" w:type="dxa"/>
              <w:start w:w="120" w:type="dxa"/>
              <w:bottom w:w="80" w:type="dxa"/>
              <w:end w:w="120" w:type="dxa"/>
            </w:tcMar>
          </w:tcPr>
          <w:p>
            <w:pPr>
              <w:spacing w:after="0"/>
            </w:pPr>
            <w:r>
              <w:rPr>
                <w:rFonts w:ascii="Calibri" w:hAnsi="Calibri"/>
                <w:b w:val="0"/>
                <w:sz w:val="21"/>
              </w:rPr>
              <w:t>980</w:t>
            </w:r>
          </w:p>
        </w:tc>
        <w:tc>
          <w:tcPr>
            <w:tcW w:type="dxa" w:w="4860"/>
            <w:vAlign w:val="center"/>
            <w:tcMar>
              <w:top w:w="80" w:type="dxa"/>
              <w:start w:w="120" w:type="dxa"/>
              <w:bottom w:w="80" w:type="dxa"/>
              <w:end w:w="120" w:type="dxa"/>
            </w:tcMar>
          </w:tcPr>
          <w:p>
            <w:pPr>
              <w:spacing w:after="0"/>
            </w:pPr>
            <w:r>
              <w:rPr>
                <w:rFonts w:ascii="Calibri" w:hAnsi="Calibri"/>
                <w:b w:val="0"/>
                <w:sz w:val="21"/>
              </w:rPr>
              <w:t>Expected resting Z-axis value for the current Proteus sensor model.</w:t>
            </w:r>
          </w:p>
        </w:tc>
      </w:tr>
      <w:tr>
        <w:tc>
          <w:tcPr>
            <w:tcW w:type="dxa" w:w="3300"/>
            <w:vAlign w:val="center"/>
            <w:tcMar>
              <w:top w:w="80" w:type="dxa"/>
              <w:start w:w="120" w:type="dxa"/>
              <w:bottom w:w="80" w:type="dxa"/>
              <w:end w:w="120" w:type="dxa"/>
            </w:tcMar>
          </w:tcPr>
          <w:p>
            <w:pPr>
              <w:spacing w:after="0"/>
            </w:pPr>
            <w:r>
              <w:rPr>
                <w:rFonts w:ascii="Calibri" w:hAnsi="Calibri"/>
                <w:b w:val="0"/>
                <w:sz w:val="21"/>
              </w:rPr>
              <w:t>Decision__AccVerticalScale</w:t>
            </w:r>
          </w:p>
        </w:tc>
        <w:tc>
          <w:tcPr>
            <w:tcW w:type="dxa" w:w="1200"/>
            <w:vAlign w:val="center"/>
            <w:tcMar>
              <w:top w:w="80" w:type="dxa"/>
              <w:start w:w="120" w:type="dxa"/>
              <w:bottom w:w="80" w:type="dxa"/>
              <w:end w:w="120" w:type="dxa"/>
            </w:tcMar>
          </w:tcPr>
          <w:p>
            <w:pPr>
              <w:spacing w:after="0"/>
            </w:pPr>
            <w:r>
              <w:rPr>
                <w:rFonts w:ascii="Calibri" w:hAnsi="Calibri"/>
                <w:b w:val="0"/>
                <w:sz w:val="21"/>
              </w:rPr>
              <w:t>50</w:t>
            </w:r>
          </w:p>
        </w:tc>
        <w:tc>
          <w:tcPr>
            <w:tcW w:type="dxa" w:w="4860"/>
            <w:vAlign w:val="center"/>
            <w:tcMar>
              <w:top w:w="80" w:type="dxa"/>
              <w:start w:w="120" w:type="dxa"/>
              <w:bottom w:w="80" w:type="dxa"/>
              <w:end w:w="120" w:type="dxa"/>
            </w:tcMar>
          </w:tcPr>
          <w:p>
            <w:pPr>
              <w:spacing w:after="0"/>
            </w:pPr>
            <w:r>
              <w:rPr>
                <w:rFonts w:ascii="Calibri" w:hAnsi="Calibri"/>
                <w:b w:val="0"/>
                <w:sz w:val="21"/>
              </w:rPr>
              <w:t>Normalizes vertical deviation in the movement score.</w:t>
            </w:r>
          </w:p>
        </w:tc>
      </w:tr>
      <w:tr>
        <w:tc>
          <w:tcPr>
            <w:tcW w:type="dxa" w:w="3300"/>
            <w:vAlign w:val="center"/>
            <w:tcMar>
              <w:top w:w="80" w:type="dxa"/>
              <w:start w:w="120" w:type="dxa"/>
              <w:bottom w:w="80" w:type="dxa"/>
              <w:end w:w="120" w:type="dxa"/>
            </w:tcMar>
          </w:tcPr>
          <w:p>
            <w:pPr>
              <w:spacing w:after="0"/>
            </w:pPr>
            <w:r>
              <w:rPr>
                <w:rFonts w:ascii="Calibri" w:hAnsi="Calibri"/>
                <w:b w:val="0"/>
                <w:sz w:val="21"/>
              </w:rPr>
              <w:t>Decision__AccMovementThreshold</w:t>
            </w:r>
          </w:p>
        </w:tc>
        <w:tc>
          <w:tcPr>
            <w:tcW w:type="dxa" w:w="1200"/>
            <w:vAlign w:val="center"/>
            <w:tcMar>
              <w:top w:w="80" w:type="dxa"/>
              <w:start w:w="120" w:type="dxa"/>
              <w:bottom w:w="80" w:type="dxa"/>
              <w:end w:w="120" w:type="dxa"/>
            </w:tcMar>
          </w:tcPr>
          <w:p>
            <w:pPr>
              <w:spacing w:after="0"/>
            </w:pPr>
            <w:r>
              <w:rPr>
                <w:rFonts w:ascii="Calibri" w:hAnsi="Calibri"/>
                <w:b w:val="0"/>
                <w:sz w:val="21"/>
              </w:rPr>
              <w:t>2.5</w:t>
            </w:r>
          </w:p>
        </w:tc>
        <w:tc>
          <w:tcPr>
            <w:tcW w:type="dxa" w:w="4860"/>
            <w:vAlign w:val="center"/>
            <w:tcMar>
              <w:top w:w="80" w:type="dxa"/>
              <w:start w:w="120" w:type="dxa"/>
              <w:bottom w:w="80" w:type="dxa"/>
              <w:end w:w="120" w:type="dxa"/>
            </w:tcMar>
          </w:tcPr>
          <w:p>
            <w:pPr>
              <w:spacing w:after="0"/>
            </w:pPr>
            <w:r>
              <w:rPr>
                <w:rFonts w:ascii="Calibri" w:hAnsi="Calibri"/>
                <w:b w:val="0"/>
                <w:sz w:val="21"/>
              </w:rPr>
              <w:t>Minimum movement score required to escalate high risk to seizure.</w:t>
            </w:r>
          </w:p>
        </w:tc>
      </w:tr>
      <w:tr>
        <w:tc>
          <w:tcPr>
            <w:tcW w:type="dxa" w:w="3300"/>
            <w:vAlign w:val="center"/>
            <w:tcMar>
              <w:top w:w="80" w:type="dxa"/>
              <w:start w:w="120" w:type="dxa"/>
              <w:bottom w:w="80" w:type="dxa"/>
              <w:end w:w="120" w:type="dxa"/>
            </w:tcMar>
          </w:tcPr>
          <w:p>
            <w:pPr>
              <w:spacing w:after="0"/>
            </w:pPr>
            <w:r>
              <w:rPr>
                <w:rFonts w:ascii="Calibri" w:hAnsi="Calibri"/>
                <w:b w:val="0"/>
                <w:sz w:val="21"/>
              </w:rPr>
              <w:t>AiModel__HighRiskThreshold</w:t>
            </w:r>
          </w:p>
        </w:tc>
        <w:tc>
          <w:tcPr>
            <w:tcW w:type="dxa" w:w="1200"/>
            <w:vAlign w:val="center"/>
            <w:tcMar>
              <w:top w:w="80" w:type="dxa"/>
              <w:start w:w="120" w:type="dxa"/>
              <w:bottom w:w="80" w:type="dxa"/>
              <w:end w:w="120" w:type="dxa"/>
            </w:tcMar>
          </w:tcPr>
          <w:p>
            <w:pPr>
              <w:spacing w:after="0"/>
            </w:pPr>
            <w:r>
              <w:rPr>
                <w:rFonts w:ascii="Calibri" w:hAnsi="Calibri"/>
                <w:b w:val="0"/>
                <w:sz w:val="21"/>
              </w:rPr>
              <w:t>0.7</w:t>
            </w:r>
          </w:p>
        </w:tc>
        <w:tc>
          <w:tcPr>
            <w:tcW w:type="dxa" w:w="4860"/>
            <w:vAlign w:val="center"/>
            <w:tcMar>
              <w:top w:w="80" w:type="dxa"/>
              <w:start w:w="120" w:type="dxa"/>
              <w:bottom w:w="80" w:type="dxa"/>
              <w:end w:w="120" w:type="dxa"/>
            </w:tcMar>
          </w:tcPr>
          <w:p>
            <w:pPr>
              <w:spacing w:after="0"/>
            </w:pPr>
            <w:r>
              <w:rPr>
                <w:rFonts w:ascii="Calibri" w:hAnsi="Calibri"/>
                <w:b w:val="0"/>
                <w:sz w:val="21"/>
              </w:rPr>
              <w:t>Probability threshold for a high-risk warning.</w:t>
            </w:r>
          </w:p>
        </w:tc>
      </w:tr>
    </w:tbl>
    <w:p>
      <w:pPr>
        <w:spacing w:after="0"/>
      </w:pPr>
    </w:p>
    <w:p>
      <w:pPr>
        <w:pStyle w:val="Heading1"/>
      </w:pPr>
      <w:r>
        <w:t>Delivered source code</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F2F4F7"/>
            <w:vAlign w:val="center"/>
            <w:tcMar>
              <w:top w:w="80" w:type="dxa"/>
              <w:start w:w="120" w:type="dxa"/>
              <w:bottom w:w="80" w:type="dxa"/>
              <w:end w:w="120" w:type="dxa"/>
            </w:tcMar>
          </w:tcPr>
          <w:p>
            <w:pPr>
              <w:spacing w:after="0"/>
            </w:pPr>
            <w:r>
              <w:rPr>
                <w:rFonts w:ascii="Calibri" w:hAnsi="Calibri"/>
                <w:b/>
                <w:color w:val="1F4D78"/>
                <w:sz w:val="22"/>
              </w:rPr>
              <w:t>Area</w:t>
            </w:r>
          </w:p>
        </w:tc>
        <w:tc>
          <w:tcPr>
            <w:tcW w:type="dxa" w:w="6960"/>
            <w:shd w:fill="F2F4F7"/>
            <w:vAlign w:val="center"/>
            <w:tcMar>
              <w:top w:w="80" w:type="dxa"/>
              <w:start w:w="120" w:type="dxa"/>
              <w:bottom w:w="80" w:type="dxa"/>
              <w:end w:w="120" w:type="dxa"/>
            </w:tcMar>
          </w:tcPr>
          <w:p>
            <w:pPr>
              <w:spacing w:after="0"/>
            </w:pPr>
            <w:r>
              <w:rPr>
                <w:rFonts w:ascii="Calibri" w:hAnsi="Calibri"/>
                <w:b/>
                <w:color w:val="1F4D78"/>
                <w:sz w:val="22"/>
              </w:rPr>
              <w:t>Delivered content</w:t>
            </w:r>
          </w:p>
        </w:tc>
      </w:tr>
      <w:tr>
        <w:tc>
          <w:tcPr>
            <w:tcW w:type="dxa" w:w="2400"/>
            <w:vAlign w:val="center"/>
            <w:tcMar>
              <w:top w:w="80" w:type="dxa"/>
              <w:start w:w="120" w:type="dxa"/>
              <w:bottom w:w="80" w:type="dxa"/>
              <w:end w:w="120" w:type="dxa"/>
            </w:tcMar>
          </w:tcPr>
          <w:p>
            <w:pPr>
              <w:spacing w:after="0"/>
            </w:pPr>
            <w:r>
              <w:rPr>
                <w:rFonts w:ascii="Calibri" w:hAnsi="Calibri"/>
                <w:b w:val="0"/>
                <w:sz w:val="21"/>
              </w:rPr>
              <w:t>Backend API</w:t>
            </w:r>
          </w:p>
        </w:tc>
        <w:tc>
          <w:tcPr>
            <w:tcW w:type="dxa" w:w="6960"/>
            <w:vAlign w:val="center"/>
            <w:tcMar>
              <w:top w:w="80" w:type="dxa"/>
              <w:start w:w="120" w:type="dxa"/>
              <w:bottom w:w="80" w:type="dxa"/>
              <w:end w:w="120" w:type="dxa"/>
            </w:tcMar>
          </w:tcPr>
          <w:p>
            <w:pPr>
              <w:spacing w:after="0"/>
            </w:pPr>
            <w:r>
              <w:rPr>
                <w:rFonts w:ascii="Calibri" w:hAnsi="Calibri"/>
                <w:b w:val="0"/>
                <w:sz w:val="21"/>
              </w:rPr>
              <w:t>Complete EpiCare.Api source, configuration, deployment files, and solution metadata.</w:t>
            </w:r>
          </w:p>
        </w:tc>
      </w:tr>
      <w:tr>
        <w:tc>
          <w:tcPr>
            <w:tcW w:type="dxa" w:w="2400"/>
            <w:vAlign w:val="center"/>
            <w:tcMar>
              <w:top w:w="80" w:type="dxa"/>
              <w:start w:w="120" w:type="dxa"/>
              <w:bottom w:w="80" w:type="dxa"/>
              <w:end w:w="120" w:type="dxa"/>
            </w:tcMar>
          </w:tcPr>
          <w:p>
            <w:pPr>
              <w:spacing w:after="0"/>
            </w:pPr>
            <w:r>
              <w:rPr>
                <w:rFonts w:ascii="Calibri" w:hAnsi="Calibri"/>
                <w:b w:val="0"/>
                <w:sz w:val="21"/>
              </w:rPr>
              <w:t>IoT Bridge</w:t>
            </w:r>
          </w:p>
        </w:tc>
        <w:tc>
          <w:tcPr>
            <w:tcW w:type="dxa" w:w="6960"/>
            <w:vAlign w:val="center"/>
            <w:tcMar>
              <w:top w:w="80" w:type="dxa"/>
              <w:start w:w="120" w:type="dxa"/>
              <w:bottom w:w="80" w:type="dxa"/>
              <w:end w:w="120" w:type="dxa"/>
            </w:tcMar>
          </w:tcPr>
          <w:p>
            <w:pPr>
              <w:spacing w:after="0"/>
            </w:pPr>
            <w:r>
              <w:rPr>
                <w:rFonts w:ascii="Calibri" w:hAnsi="Calibri"/>
                <w:b w:val="0"/>
                <w:sz w:val="21"/>
              </w:rPr>
              <w:t>Serial-to-HTTP bridge with optional N/P/S command write-back.</w:t>
            </w:r>
          </w:p>
        </w:tc>
      </w:tr>
      <w:tr>
        <w:tc>
          <w:tcPr>
            <w:tcW w:type="dxa" w:w="2400"/>
            <w:vAlign w:val="center"/>
            <w:tcMar>
              <w:top w:w="80" w:type="dxa"/>
              <w:start w:w="120" w:type="dxa"/>
              <w:bottom w:w="80" w:type="dxa"/>
              <w:end w:w="120" w:type="dxa"/>
            </w:tcMar>
          </w:tcPr>
          <w:p>
            <w:pPr>
              <w:spacing w:after="0"/>
            </w:pPr>
            <w:r>
              <w:rPr>
                <w:rFonts w:ascii="Calibri" w:hAnsi="Calibri"/>
                <w:b w:val="0"/>
                <w:sz w:val="21"/>
              </w:rPr>
              <w:t>Proteus / Arduino</w:t>
            </w:r>
          </w:p>
        </w:tc>
        <w:tc>
          <w:tcPr>
            <w:tcW w:type="dxa" w:w="6960"/>
            <w:vAlign w:val="center"/>
            <w:tcMar>
              <w:top w:w="80" w:type="dxa"/>
              <w:start w:w="120" w:type="dxa"/>
              <w:bottom w:w="80" w:type="dxa"/>
              <w:end w:w="120" w:type="dxa"/>
            </w:tcMar>
          </w:tcPr>
          <w:p>
            <w:pPr>
              <w:spacing w:after="0"/>
            </w:pPr>
            <w:r>
              <w:rPr>
                <w:rFonts w:ascii="Calibri" w:hAnsi="Calibri"/>
                <w:b w:val="0"/>
                <w:sz w:val="21"/>
              </w:rPr>
              <w:t>Updated sketch with raw sensor output and optional demo-state transmission.</w:t>
            </w:r>
          </w:p>
        </w:tc>
      </w:tr>
      <w:tr>
        <w:tc>
          <w:tcPr>
            <w:tcW w:type="dxa" w:w="2400"/>
            <w:vAlign w:val="center"/>
            <w:tcMar>
              <w:top w:w="80" w:type="dxa"/>
              <w:start w:w="120" w:type="dxa"/>
              <w:bottom w:w="80" w:type="dxa"/>
              <w:end w:w="120" w:type="dxa"/>
            </w:tcMar>
          </w:tcPr>
          <w:p>
            <w:pPr>
              <w:spacing w:after="0"/>
            </w:pPr>
            <w:r>
              <w:rPr>
                <w:rFonts w:ascii="Calibri" w:hAnsi="Calibri"/>
                <w:b w:val="0"/>
                <w:sz w:val="21"/>
              </w:rPr>
              <w:t>Documentation</w:t>
            </w:r>
          </w:p>
        </w:tc>
        <w:tc>
          <w:tcPr>
            <w:tcW w:type="dxa" w:w="6960"/>
            <w:vAlign w:val="center"/>
            <w:tcMar>
              <w:top w:w="80" w:type="dxa"/>
              <w:start w:w="120" w:type="dxa"/>
              <w:bottom w:w="80" w:type="dxa"/>
              <w:end w:w="120" w:type="dxa"/>
            </w:tcMar>
          </w:tcPr>
          <w:p>
            <w:pPr>
              <w:spacing w:after="0"/>
            </w:pPr>
            <w:r>
              <w:rPr>
                <w:rFonts w:ascii="Calibri" w:hAnsi="Calibri"/>
                <w:b w:val="0"/>
                <w:sz w:val="21"/>
              </w:rPr>
              <w:t>Backend README and this technical integration report.</w:t>
            </w:r>
          </w:p>
        </w:tc>
      </w:tr>
    </w:tbl>
    <w:p>
      <w:pPr>
        <w:spacing w:after="0"/>
      </w:pPr>
    </w:p>
    <w:p>
      <w:pPr>
        <w:pStyle w:val="Heading1"/>
      </w:pPr>
      <w:r>
        <w:t>Validation status</w:t>
      </w:r>
    </w:p>
    <w:p>
      <w:r>
        <w:rPr>
          <w:rFonts w:ascii="Calibri" w:hAnsi="Calibri"/>
          <w:b w:val="0"/>
          <w:sz w:val="22"/>
        </w:rPr>
        <w:t>The application configuration was parsed successfully as JSON, the patch passed git diff whitespace validation, and the Arduino sketch was checked to contain one active sensor-output function with demo-state transmission disabled by default. A full dotnet build could not be executed on the preparation machine because the .NET SDK was not installed in PATH. The client or deployment pipeline should run dotnet build EpiCare.Backend.sln using .NET 8 before release.</w:t>
      </w:r>
    </w:p>
    <w:p>
      <w:pPr>
        <w:pStyle w:val="Heading1"/>
      </w:pPr>
      <w:r>
        <w:t>Operational notes</w:t>
      </w:r>
    </w:p>
    <w:p>
      <w:r>
        <w:rPr>
          <w:rFonts w:ascii="Calibri" w:hAnsi="Calibri"/>
          <w:b w:val="0"/>
          <w:sz w:val="22"/>
        </w:rPr>
        <w:t>ACC baseline and movement thresholds currently match the Proteus convention where resting Z is approximately 980. These values must be calibrated before connecting a physical accelerometer with different units. Monitoring history remains in memory and resets when the backend process restarts; persistent clinical history requires a database integration.</w:t>
      </w:r>
    </w:p>
    <w:p>
      <w:r>
        <w:rPr>
          <w:b/>
          <w:color w:val="1F4E79"/>
          <w:sz w:val="26"/>
        </w:rPr>
        <w:t>AI API endpoint update</w:t>
      </w:r>
    </w:p>
    <w:p>
      <w:r>
        <w:t xml:space="preserve">The backend now targets the SeizeIT2 model API at </w:t>
      </w:r>
      <w:r>
        <w:rPr>
          <w:b/>
        </w:rPr>
        <w:t>https://seizeit2-api-production.up.railway.app</w:t>
      </w:r>
      <w:r>
        <w:t xml:space="preserve"> with the prediction route </w:t>
      </w:r>
      <w:r>
        <w:rPr>
          <w:b/>
        </w:rPr>
        <w:t>POST /predict</w:t>
      </w:r>
      <w:r>
        <w:t xml:space="preserve">. Future model-server migrations should be handled by changing the environment variable </w:t>
      </w:r>
      <w:r>
        <w:rPr>
          <w:b/>
        </w:rPr>
        <w:t>AiModel__BaseUrl</w:t>
      </w:r>
      <w:r>
        <w:t xml:space="preserve"> while keeping </w:t>
      </w:r>
      <w:r>
        <w:rPr>
          <w:b/>
        </w:rPr>
        <w:t>AiModel__PredictPath=/predict</w:t>
      </w:r>
      <w:r>
        <w:t xml:space="preserve"> unless the new API contract changes.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A626C"/>
        <w:sz w:val="17"/>
      </w:rPr>
      <w:t>Confidential client delivery | 23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A626C"/>
        <w:sz w:val="18"/>
      </w:rPr>
      <w:t>EpiCare | Technical Delivery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EpiCare Backend AI Integration Report</dc:title>
  <dc:subject>Client technical handoff</dc:subject>
  <dc:creator>EpiCare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