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703"/>
        <w:gridCol w:w="4703"/>
      </w:tblGrid>
      <w:tr>
        <w:tc>
          <w:tcPr>
            <w:tcW w:type="dxa" w:w="6236"/>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c>
          <w:tcPr>
            <w:tcW w:type="dxa" w:w="340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right"/>
            </w:pPr>
            <w:r>
              <w:drawing>
                <wp:inline xmlns:a="http://schemas.openxmlformats.org/drawingml/2006/main" xmlns:pic="http://schemas.openxmlformats.org/drawingml/2006/picture">
                  <wp:extent cx="1440000" cy="631149"/>
                  <wp:docPr id="1" name="Picture 1"/>
                  <wp:cNvGraphicFramePr>
                    <a:graphicFrameLocks noChangeAspect="1"/>
                  </wp:cNvGraphicFramePr>
                  <a:graphic>
                    <a:graphicData uri="http://schemas.openxmlformats.org/drawingml/2006/picture">
                      <pic:pic>
                        <pic:nvPicPr>
                          <pic:cNvPr id="0" name="zeonylogo.png"/>
                          <pic:cNvPicPr/>
                        </pic:nvPicPr>
                        <pic:blipFill>
                          <a:blip r:embed="rId9"/>
                          <a:stretch>
                            <a:fillRect/>
                          </a:stretch>
                        </pic:blipFill>
                        <pic:spPr>
                          <a:xfrm>
                            <a:off x="0" y="0"/>
                            <a:ext cx="1440000" cy="631149"/>
                          </a:xfrm>
                          <a:prstGeom prst="rect"/>
                        </pic:spPr>
                      </pic:pic>
                    </a:graphicData>
                  </a:graphic>
                </wp:inline>
              </w:drawing>
            </w:r>
          </w:p>
        </w:tc>
      </w:tr>
    </w:tbl>
    <w:p>
      <w:pPr>
        <w:spacing w:before="120" w:after="200"/>
        <w:jc w:val="center"/>
      </w:pPr>
      <w:r>
        <w:rPr>
          <w:b/>
          <w:color w:val="000000"/>
          <w:sz w:val="36"/>
        </w:rPr>
        <w:t>QUOTATION</w:t>
      </w:r>
    </w:p>
    <w:p>
      <w:pPr>
        <w:spacing w:before="0" w:after="80"/>
        <w:pBdr>
          <w:bottom w:val="single" w:sz="6" w:space="1" w:color="000000"/>
        </w:pBdr>
      </w:pPr>
    </w:p>
    <w:p>
      <w:pPr>
        <w:spacing w:before="160" w:after="120"/>
      </w:pPr>
      <w:r>
        <w:rPr>
          <w:b/>
          <w:sz w:val="22"/>
        </w:rPr>
        <w:t>Project summary</w:t>
      </w:r>
      <w:r>
        <w:rPr>
          <w:sz w:val="22"/>
        </w:rPr>
        <w:t>: SGA Finance — Loan Management &amp; Collection System built on Python (Flask), Supabase (PostgreSQL cloud database), and Bootstrap 5. Covers authentication &amp; role-based access, customer onboarding with KYC documents, loan disbursement &amp; tracking, payment collection by field agents, automatic daily compound penalty calculation, analytics dashboards, field user management, cloud file uploads, Vercel deployment, and production-ready scheduler.</w:t>
      </w:r>
    </w:p>
    <w:p>
      <w:pPr>
        <w:spacing w:before="200" w:after="80"/>
      </w:pPr>
      <w:r>
        <w:rPr>
          <w:b/>
          <w:sz w:val="22"/>
        </w:rPr>
        <w:t>Core fixed-price modules</w:t>
      </w:r>
    </w:p>
    <w:p>
      <w:pPr>
        <w:spacing w:before="100" w:after="100"/>
      </w:pPr>
      <w:r>
        <w:rPr>
          <w:b/>
          <w:sz w:val="22"/>
        </w:rPr>
        <w:t xml:space="preserve">01. </w:t>
      </w:r>
      <w:r>
        <w:rPr>
          <w:b/>
          <w:sz w:val="22"/>
        </w:rPr>
        <w:t>Project setup &amp; core infrastructure</w:t>
      </w:r>
      <w:r>
        <w:rPr>
          <w:sz w:val="22"/>
        </w:rPr>
        <w:t xml:space="preserve"> (Flask app factory, Supabase connectivity, environment config (.env), secret management, error handlers, session setup, Gunicorn production config.)</w:t>
      </w:r>
      <w:r>
        <w:rPr>
          <w:b/>
          <w:sz w:val="22"/>
        </w:rPr>
        <w:t>: INR 15,000</w:t>
      </w:r>
    </w:p>
    <w:p>
      <w:pPr>
        <w:spacing w:before="100" w:after="100"/>
      </w:pPr>
      <w:r>
        <w:rPr>
          <w:b/>
          <w:sz w:val="22"/>
        </w:rPr>
        <w:t xml:space="preserve">02. </w:t>
      </w:r>
      <w:r>
        <w:rPr>
          <w:b/>
          <w:sz w:val="22"/>
        </w:rPr>
        <w:t>Authentication &amp; Authorization</w:t>
      </w:r>
      <w:r>
        <w:rPr>
          <w:sz w:val="22"/>
        </w:rPr>
        <w:t xml:space="preserve"> (Login with email + password, Flask-Login session management, role-based access control (Admin / Field User), protected routes, logout.)</w:t>
      </w:r>
      <w:r>
        <w:rPr>
          <w:b/>
          <w:sz w:val="22"/>
        </w:rPr>
        <w:t>: INR 20,000</w:t>
      </w:r>
    </w:p>
    <w:p>
      <w:pPr>
        <w:spacing w:before="100" w:after="100"/>
      </w:pPr>
      <w:r>
        <w:rPr>
          <w:b/>
          <w:sz w:val="22"/>
        </w:rPr>
        <w:t xml:space="preserve">03. </w:t>
      </w:r>
      <w:r>
        <w:rPr>
          <w:b/>
          <w:sz w:val="22"/>
        </w:rPr>
        <w:t>User Management</w:t>
      </w:r>
      <w:r>
        <w:rPr>
          <w:sz w:val="22"/>
        </w:rPr>
        <w:t xml:space="preserve"> (Admin CRUD for users: create, change password, delete. Role assignment (Admin / Field User). Password management UI with confirmation modal.)</w:t>
      </w:r>
      <w:r>
        <w:rPr>
          <w:b/>
          <w:sz w:val="22"/>
        </w:rPr>
        <w:t>: INR 10,000</w:t>
      </w:r>
    </w:p>
    <w:p>
      <w:pPr>
        <w:spacing w:before="100" w:after="100"/>
      </w:pPr>
      <w:r>
        <w:rPr>
          <w:b/>
          <w:sz w:val="22"/>
        </w:rPr>
        <w:t xml:space="preserve">04. </w:t>
      </w:r>
      <w:r>
        <w:rPr>
          <w:b/>
          <w:sz w:val="22"/>
        </w:rPr>
        <w:t>Customer Management &amp; KYC</w:t>
      </w:r>
      <w:r>
        <w:rPr>
          <w:sz w:val="22"/>
        </w:rPr>
        <w:t xml:space="preserve"> (Add / edit customers with full KYC: Aadhar, PAN, photo (mobile camera support), bank details. Auto-generated Customer IDs (CUS-YYYYMMDD-XXXX). Customer search and profile view.)</w:t>
      </w:r>
      <w:r>
        <w:rPr>
          <w:b/>
          <w:sz w:val="22"/>
        </w:rPr>
        <w:t>: INR 25,000</w:t>
      </w:r>
    </w:p>
    <w:p>
      <w:pPr>
        <w:spacing w:before="100" w:after="100"/>
      </w:pPr>
      <w:r>
        <w:rPr>
          <w:b/>
          <w:sz w:val="22"/>
        </w:rPr>
        <w:t xml:space="preserve">05. </w:t>
      </w:r>
      <w:r>
        <w:rPr>
          <w:b/>
          <w:sz w:val="22"/>
        </w:rPr>
        <w:t>Loan Creation &amp; Lifecycle Management</w:t>
      </w:r>
      <w:r>
        <w:rPr>
          <w:sz w:val="22"/>
        </w:rPr>
        <w:t xml:space="preserve"> (Create loans with auto-calculation of total interest, total repayable, daily EMI and due date. Live loan calculator (real-time preview). Loan ID auto-generation (LN-YYYYMMDD-XXXX). Status tracking: Active / Overdue / Cleared. Repayment progress bar.)</w:t>
      </w:r>
      <w:r>
        <w:rPr>
          <w:b/>
          <w:sz w:val="22"/>
        </w:rPr>
        <w:t>: INR 30,000</w:t>
      </w:r>
    </w:p>
    <w:p>
      <w:pPr>
        <w:spacing w:before="100" w:after="100"/>
      </w:pPr>
      <w:r>
        <w:rPr>
          <w:b/>
          <w:sz w:val="22"/>
        </w:rPr>
        <w:t xml:space="preserve">06. </w:t>
      </w:r>
      <w:r>
        <w:rPr>
          <w:b/>
          <w:sz w:val="22"/>
        </w:rPr>
        <w:t>Payment Collection Workflow</w:t>
      </w:r>
      <w:r>
        <w:rPr>
          <w:sz w:val="22"/>
        </w:rPr>
        <w:t xml:space="preserve"> (Field user payment collection modal with notes. Balance before/after tracking. Auto-clear loan on full payment. Payment history per loan. Collected-by attribution.)</w:t>
      </w:r>
      <w:r>
        <w:rPr>
          <w:b/>
          <w:sz w:val="22"/>
        </w:rPr>
        <w:t>: INR 18,000</w:t>
      </w:r>
    </w:p>
    <w:p>
      <w:pPr>
        <w:spacing w:before="100" w:after="100"/>
      </w:pPr>
      <w:r>
        <w:rPr>
          <w:b/>
          <w:sz w:val="22"/>
        </w:rPr>
        <w:t xml:space="preserve">07. </w:t>
      </w:r>
      <w:r>
        <w:rPr>
          <w:b/>
          <w:sz w:val="22"/>
        </w:rPr>
        <w:t>Automatic Daily Penalty Engine</w:t>
      </w:r>
      <w:r>
        <w:rPr>
          <w:sz w:val="22"/>
        </w:rPr>
        <w:t xml:space="preserve"> (APScheduler cron job (00:01 IST) calculating daily compound penalties on overdue outstanding balances. Penalty backfill for missed days. Penalty log per loan. Manual trigger button for admin. External scheduler HTTP hook (/hooks/run_penalty, Bearer token auth).)</w:t>
      </w:r>
      <w:r>
        <w:rPr>
          <w:b/>
          <w:sz w:val="22"/>
        </w:rPr>
        <w:t>: INR 22,000</w:t>
      </w:r>
    </w:p>
    <w:p>
      <w:pPr>
        <w:spacing w:before="100" w:after="100"/>
      </w:pPr>
      <w:r>
        <w:rPr>
          <w:b/>
          <w:sz w:val="22"/>
        </w:rPr>
        <w:t xml:space="preserve">08. </w:t>
      </w:r>
      <w:r>
        <w:rPr>
          <w:b/>
          <w:sz w:val="22"/>
        </w:rPr>
        <w:t>Field User Assignment &amp; Dashboard</w:t>
      </w:r>
      <w:r>
        <w:rPr>
          <w:sz w:val="22"/>
        </w:rPr>
        <w:t xml:space="preserve"> (Assign customers and loans to field agents. Field user dashboard: assigned loans, overdue count, collections today. Field user customer list (assigned only). Collect payment from customer profile.)</w:t>
      </w:r>
      <w:r>
        <w:rPr>
          <w:b/>
          <w:sz w:val="22"/>
        </w:rPr>
        <w:t>: INR 18,000</w:t>
      </w:r>
    </w:p>
    <w:p>
      <w:pPr>
        <w:spacing w:before="100" w:after="100"/>
      </w:pPr>
      <w:r>
        <w:rPr>
          <w:b/>
          <w:sz w:val="22"/>
        </w:rPr>
        <w:t xml:space="preserve">09. </w:t>
      </w:r>
      <w:r>
        <w:rPr>
          <w:b/>
          <w:sz w:val="22"/>
        </w:rPr>
        <w:t>Analytics Dashboard</w:t>
      </w:r>
      <w:r>
        <w:rPr>
          <w:sz w:val="22"/>
        </w:rPr>
        <w:t xml:space="preserve"> (Admin KPI cards (disbursed, outstanding, collected, penalty). Monthly disbursement vs collections bar chart. Loan status doughnut chart. Monthly penalty trend line chart. Field user performance table. Top 10 overdue customers table.)</w:t>
      </w:r>
      <w:r>
        <w:rPr>
          <w:b/>
          <w:sz w:val="22"/>
        </w:rPr>
        <w:t>: INR 22,000</w:t>
      </w:r>
    </w:p>
    <w:p>
      <w:pPr>
        <w:spacing w:before="100" w:after="100"/>
      </w:pPr>
      <w:r>
        <w:rPr>
          <w:b/>
          <w:sz w:val="22"/>
        </w:rPr>
        <w:t xml:space="preserve">10. </w:t>
      </w:r>
      <w:r>
        <w:rPr>
          <w:b/>
          <w:sz w:val="22"/>
        </w:rPr>
        <w:t>File Uploads &amp; Storage</w:t>
      </w:r>
      <w:r>
        <w:rPr>
          <w:sz w:val="22"/>
        </w:rPr>
        <w:t xml:space="preserve"> (Customer photo and KYC document uploads (JPG/PNG/PDF, max 10 MB). Local disk storage with Supabase Storage fallback for Vercel/read-only environments. Filename sanitization and secure file serving.)</w:t>
      </w:r>
      <w:r>
        <w:rPr>
          <w:b/>
          <w:sz w:val="22"/>
        </w:rPr>
        <w:t>: INR 12,000</w:t>
      </w:r>
    </w:p>
    <w:p>
      <w:pPr>
        <w:spacing w:before="100" w:after="100"/>
      </w:pPr>
      <w:r>
        <w:rPr>
          <w:b/>
          <w:sz w:val="22"/>
        </w:rPr>
        <w:t xml:space="preserve">11. </w:t>
      </w:r>
      <w:r>
        <w:rPr>
          <w:b/>
          <w:sz w:val="22"/>
        </w:rPr>
        <w:t>REST API Endpoints</w:t>
      </w:r>
      <w:r>
        <w:rPr>
          <w:sz w:val="22"/>
        </w:rPr>
        <w:t xml:space="preserve"> (POST /api/calculate_loan (real-time EMI preview). GET /api/loan_status/&lt;id&gt;. GET /api/customer_summary/&lt;id&gt;. All endpoints require authentication.)</w:t>
      </w:r>
      <w:r>
        <w:rPr>
          <w:b/>
          <w:sz w:val="22"/>
        </w:rPr>
        <w:t>: INR 10,000</w:t>
      </w:r>
    </w:p>
    <w:p>
      <w:pPr>
        <w:spacing w:before="100" w:after="100"/>
      </w:pPr>
      <w:r>
        <w:rPr>
          <w:b/>
          <w:sz w:val="22"/>
        </w:rPr>
        <w:t xml:space="preserve">12. </w:t>
      </w:r>
      <w:r>
        <w:rPr>
          <w:b/>
          <w:sz w:val="22"/>
        </w:rPr>
        <w:t>UI Polish &amp; Responsive Design</w:t>
      </w:r>
      <w:r>
        <w:rPr>
          <w:sz w:val="22"/>
        </w:rPr>
        <w:t xml:space="preserve"> (Bootstrap 5.3.2 responsive layout. Bootstrap Icons. Chart.js 4.4.2 charts. Color-coded status badges, progress bars, zebra tables. Mobile-friendly forms with camera capture.)</w:t>
      </w:r>
      <w:r>
        <w:rPr>
          <w:b/>
          <w:sz w:val="22"/>
        </w:rPr>
        <w:t>: INR 12,000</w:t>
      </w:r>
    </w:p>
    <w:p>
      <w:pPr>
        <w:spacing w:before="100" w:after="100"/>
      </w:pPr>
      <w:r>
        <w:rPr>
          <w:b/>
          <w:sz w:val="22"/>
        </w:rPr>
        <w:t xml:space="preserve">13. </w:t>
      </w:r>
      <w:r>
        <w:rPr>
          <w:b/>
          <w:sz w:val="22"/>
        </w:rPr>
        <w:t>Deployment, Documentation &amp; Handover</w:t>
      </w:r>
      <w:r>
        <w:rPr>
          <w:sz w:val="22"/>
        </w:rPr>
        <w:t xml:space="preserve"> (Vercel deployment support, Gunicorn server config, run.ps1 startup script. Environment variable documentation, Supabase schema SQL, README, IST timezone-aware scheduler, source code handover.)</w:t>
      </w:r>
      <w:r>
        <w:rPr>
          <w:b/>
          <w:sz w:val="22"/>
        </w:rPr>
        <w:t>: INR 12,000</w:t>
      </w:r>
    </w:p>
    <w:p>
      <w:pPr>
        <w:spacing w:before="0" w:after="80"/>
        <w:pBdr>
          <w:bottom w:val="single" w:sz="6" w:space="1" w:color="000000"/>
        </w:pBdr>
      </w:pPr>
    </w:p>
    <w:p>
      <w:pPr>
        <w:spacing w:before="160" w:after="80"/>
        <w:jc w:val="right"/>
      </w:pPr>
      <w:r>
        <w:rPr>
          <w:b/>
          <w:sz w:val="24"/>
        </w:rPr>
        <w:t>Total (all modules): INR 226,000</w:t>
      </w:r>
    </w:p>
    <w:p>
      <w:pPr>
        <w:spacing w:before="40" w:after="80"/>
        <w:jc w:val="right"/>
      </w:pPr>
      <w:r>
        <w:rPr>
          <w:sz w:val="22"/>
        </w:rPr>
        <w:t>GST @ 18%: INR 40,680</w:t>
      </w:r>
    </w:p>
    <w:p>
      <w:pPr>
        <w:spacing w:before="40" w:after="160"/>
        <w:jc w:val="right"/>
      </w:pPr>
      <w:r>
        <w:rPr>
          <w:b/>
          <w:color w:val="1A56DB"/>
          <w:sz w:val="24"/>
        </w:rPr>
        <w:t>Grand Total (incl. GST): INR 266,680</w:t>
      </w:r>
    </w:p>
    <w:p>
      <w:pPr>
        <w:spacing w:before="0" w:after="80"/>
        <w:pBdr>
          <w:bottom w:val="single" w:sz="6" w:space="1" w:color="000000"/>
        </w:pBdr>
      </w:pPr>
    </w:p>
    <w:p>
      <w:pPr>
        <w:spacing w:before="160" w:after="80"/>
      </w:pPr>
      <w:r>
        <w:rPr>
          <w:b/>
          <w:sz w:val="22"/>
        </w:rPr>
        <w:t>Terms &amp; Conditions</w:t>
      </w:r>
    </w:p>
    <w:p>
      <w:pPr>
        <w:pStyle w:val="ListBullet"/>
        <w:spacing w:before="40" w:after="40"/>
      </w:pPr>
      <w:r>
        <w:rPr>
          <w:sz w:val="20"/>
        </w:rPr>
        <w:t>50% advance at order confirmation; balance 50% on delivery.</w:t>
      </w:r>
    </w:p>
    <w:p>
      <w:pPr>
        <w:pStyle w:val="ListBullet"/>
        <w:spacing w:before="40" w:after="40"/>
      </w:pPr>
      <w:r>
        <w:rPr>
          <w:sz w:val="20"/>
        </w:rPr>
        <w:t>Delivery timeline: 7 to 10 business days from advance receipt.</w:t>
      </w:r>
    </w:p>
    <w:p>
      <w:pPr>
        <w:pStyle w:val="ListBullet"/>
        <w:spacing w:before="40" w:after="40"/>
      </w:pPr>
      <w:r>
        <w:rPr>
          <w:sz w:val="20"/>
        </w:rPr>
        <w:t>GST @ 18% applicable on all amounts.</w:t>
      </w:r>
    </w:p>
    <w:p>
      <w:pPr>
        <w:pStyle w:val="ListBullet"/>
        <w:spacing w:before="40" w:after="40"/>
      </w:pPr>
      <w:r>
        <w:rPr>
          <w:sz w:val="20"/>
        </w:rPr>
        <w:t>Quotation valid for 30 days from April 30, 2026.</w:t>
      </w:r>
    </w:p>
    <w:p>
      <w:pPr>
        <w:pStyle w:val="ListBullet"/>
        <w:spacing w:before="40" w:after="40"/>
      </w:pPr>
      <w:r>
        <w:rPr>
          <w:sz w:val="20"/>
        </w:rPr>
        <w:t>Source code delivered after full payment is received.</w:t>
      </w:r>
    </w:p>
    <w:p>
      <w:pPr>
        <w:pStyle w:val="ListBullet"/>
        <w:spacing w:before="40" w:after="40"/>
      </w:pPr>
      <w:r>
        <w:rPr>
          <w:sz w:val="20"/>
        </w:rPr>
        <w:t>Support period begins from the date of final delivery.</w:t>
      </w:r>
    </w:p>
    <w:p>
      <w:r>
        <w:br w:type="page"/>
      </w:r>
    </w:p>
    <w:p>
      <w:pPr>
        <w:spacing w:before="0" w:after="80"/>
      </w:pPr>
      <w:r>
        <w:rPr>
          <w:b/>
          <w:color w:val="1A56DB"/>
          <w:sz w:val="24"/>
        </w:rPr>
        <w:t>WHAT IS BEING QUOTED</w:t>
      </w:r>
    </w:p>
    <w:p>
      <w:pPr>
        <w:spacing w:before="40" w:after="160"/>
      </w:pPr>
      <w:r>
        <w:rPr>
          <w:sz w:val="22"/>
        </w:rPr>
        <w:t>A fully built, production-ready Loan Management &amp; Collection Web Application built on Python (Flask), Supabase (PostgreSQL), and Bootstrap 5. The software includes customer onboarding, loan lifecycle management, payment collection, automated daily penalty calculations, analytics dashboards, and a field user mobile-friendly interface.</w:t>
      </w:r>
    </w:p>
    <w:p>
      <w:pPr>
        <w:spacing w:before="0" w:after="80"/>
        <w:pBdr>
          <w:bottom w:val="single" w:sz="6" w:space="1" w:color="000000"/>
        </w:pBdr>
      </w:pPr>
    </w:p>
    <w:p>
      <w:pPr>
        <w:spacing w:before="160" w:after="120"/>
      </w:pPr>
      <w:r>
        <w:rPr>
          <w:b/>
          <w:color w:val="1A56DB"/>
          <w:sz w:val="24"/>
        </w:rPr>
        <w:t>TIER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819"/>
            <w:shd w:val="clear" w:color="auto" w:fill="1A56DB"/>
          </w:tcPr>
          <w:p>
            <w:pPr>
              <w:jc w:val="center"/>
            </w:pPr>
            <w:r>
              <w:rPr>
                <w:b/>
                <w:color w:val="FFFFFF"/>
                <w:sz w:val="20"/>
              </w:rPr>
              <w:t>Feature</w:t>
            </w:r>
          </w:p>
        </w:tc>
        <w:tc>
          <w:tcPr>
            <w:tcW w:type="dxa" w:w="1587"/>
            <w:shd w:val="clear" w:color="auto" w:fill="1A56DB"/>
          </w:tcPr>
          <w:p>
            <w:pPr>
              <w:jc w:val="center"/>
            </w:pPr>
            <w:r>
              <w:rPr>
                <w:b/>
                <w:color w:val="FFFFFF"/>
                <w:sz w:val="20"/>
              </w:rPr>
              <w:t>Basic</w:t>
            </w:r>
          </w:p>
        </w:tc>
        <w:tc>
          <w:tcPr>
            <w:tcW w:type="dxa" w:w="1587"/>
            <w:shd w:val="clear" w:color="auto" w:fill="1A56DB"/>
          </w:tcPr>
          <w:p>
            <w:pPr>
              <w:jc w:val="center"/>
            </w:pPr>
            <w:r>
              <w:rPr>
                <w:b/>
                <w:color w:val="FFFFFF"/>
                <w:sz w:val="20"/>
              </w:rPr>
              <w:t>Pro</w:t>
            </w:r>
          </w:p>
        </w:tc>
        <w:tc>
          <w:tcPr>
            <w:tcW w:type="dxa" w:w="1814"/>
            <w:shd w:val="clear" w:color="auto" w:fill="1A56DB"/>
          </w:tcPr>
          <w:p>
            <w:pPr>
              <w:jc w:val="center"/>
            </w:pPr>
            <w:r>
              <w:rPr>
                <w:b/>
                <w:color w:val="FFFFFF"/>
                <w:sz w:val="20"/>
              </w:rPr>
              <w:t>Pro Plus</w:t>
            </w:r>
          </w:p>
        </w:tc>
      </w:tr>
      <w:tr>
        <w:tc>
          <w:tcPr>
            <w:tcW w:type="dxa" w:w="9807"/>
            <w:gridSpan w:val="4"/>
            <w:shd w:val="clear" w:color="auto" w:fill="D6EAF8"/>
          </w:tcPr>
          <w:p>
            <w:pPr>
              <w:jc w:val="left"/>
            </w:pPr>
            <w:r>
              <w:rPr>
                <w:b/>
                <w:color w:val="1A56DB"/>
                <w:sz w:val="18"/>
              </w:rPr>
              <w:t>PRICING</w:t>
            </w:r>
          </w:p>
        </w:tc>
      </w:tr>
      <w:tr>
        <w:tc>
          <w:tcPr>
            <w:tcW w:type="dxa" w:w="4819"/>
          </w:tcPr>
          <w:p>
            <w:pPr>
              <w:jc w:val="left"/>
            </w:pPr>
            <w:r>
              <w:rPr>
                <w:sz w:val="18"/>
              </w:rPr>
              <w:t>One-Time Cost</w:t>
            </w:r>
          </w:p>
        </w:tc>
        <w:tc>
          <w:tcPr>
            <w:tcW w:type="dxa" w:w="1587"/>
          </w:tcPr>
          <w:p>
            <w:pPr>
              <w:jc w:val="center"/>
            </w:pPr>
            <w:r>
              <w:rPr>
                <w:sz w:val="18"/>
              </w:rPr>
              <w:t>₹25,000</w:t>
            </w:r>
          </w:p>
        </w:tc>
        <w:tc>
          <w:tcPr>
            <w:tcW w:type="dxa" w:w="1587"/>
          </w:tcPr>
          <w:p>
            <w:pPr>
              <w:jc w:val="center"/>
            </w:pPr>
            <w:r>
              <w:rPr>
                <w:sz w:val="18"/>
              </w:rPr>
              <w:t>₹45,000</w:t>
            </w:r>
          </w:p>
        </w:tc>
        <w:tc>
          <w:tcPr>
            <w:tcW w:type="dxa" w:w="1814"/>
          </w:tcPr>
          <w:p>
            <w:pPr>
              <w:jc w:val="center"/>
            </w:pPr>
            <w:r>
              <w:rPr>
                <w:sz w:val="18"/>
              </w:rPr>
              <w:t>₹75,000</w:t>
            </w:r>
          </w:p>
        </w:tc>
      </w:tr>
      <w:tr>
        <w:tc>
          <w:tcPr>
            <w:tcW w:type="dxa" w:w="4819"/>
            <w:shd w:val="clear" w:color="auto" w:fill="F8FBFF"/>
          </w:tcPr>
          <w:p>
            <w:pPr>
              <w:jc w:val="left"/>
            </w:pPr>
            <w:r>
              <w:rPr>
                <w:sz w:val="18"/>
              </w:rPr>
              <w:t>Annual Maintenance (AMC)</w:t>
            </w:r>
          </w:p>
        </w:tc>
        <w:tc>
          <w:tcPr>
            <w:tcW w:type="dxa" w:w="1587"/>
            <w:shd w:val="clear" w:color="auto" w:fill="F8FBFF"/>
          </w:tcPr>
          <w:p>
            <w:pPr>
              <w:jc w:val="center"/>
            </w:pPr>
            <w:r>
              <w:rPr>
                <w:sz w:val="18"/>
              </w:rPr>
              <w:t>₹5,000/yr</w:t>
            </w:r>
          </w:p>
        </w:tc>
        <w:tc>
          <w:tcPr>
            <w:tcW w:type="dxa" w:w="1587"/>
            <w:shd w:val="clear" w:color="auto" w:fill="F8FBFF"/>
          </w:tcPr>
          <w:p>
            <w:pPr>
              <w:jc w:val="center"/>
            </w:pPr>
            <w:r>
              <w:rPr>
                <w:sz w:val="18"/>
              </w:rPr>
              <w:t>₹8,000/yr</w:t>
            </w:r>
          </w:p>
        </w:tc>
        <w:tc>
          <w:tcPr>
            <w:tcW w:type="dxa" w:w="1814"/>
            <w:shd w:val="clear" w:color="auto" w:fill="F8FBFF"/>
          </w:tcPr>
          <w:p>
            <w:pPr>
              <w:jc w:val="center"/>
            </w:pPr>
            <w:r>
              <w:rPr>
                <w:sz w:val="18"/>
              </w:rPr>
              <w:t>₹12,000/yr</w:t>
            </w:r>
          </w:p>
        </w:tc>
      </w:tr>
      <w:tr>
        <w:tc>
          <w:tcPr>
            <w:tcW w:type="dxa" w:w="9807"/>
            <w:gridSpan w:val="4"/>
            <w:shd w:val="clear" w:color="auto" w:fill="D6EAF8"/>
          </w:tcPr>
          <w:p>
            <w:pPr>
              <w:jc w:val="left"/>
            </w:pPr>
            <w:r>
              <w:rPr>
                <w:b/>
                <w:color w:val="1A56DB"/>
                <w:sz w:val="18"/>
              </w:rPr>
              <w:t>CUSTOMER MANAGEMENT</w:t>
            </w:r>
          </w:p>
        </w:tc>
      </w:tr>
      <w:tr>
        <w:tc>
          <w:tcPr>
            <w:tcW w:type="dxa" w:w="4819"/>
            <w:shd w:val="clear" w:color="auto" w:fill="F8FBFF"/>
          </w:tcPr>
          <w:p>
            <w:pPr>
              <w:jc w:val="left"/>
            </w:pPr>
            <w:r>
              <w:rPr>
                <w:sz w:val="18"/>
              </w:rPr>
              <w:t>Add / Edit Customers</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KYC Upload (Aadhar, PAN, Photo)</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Bank Details Storage</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Customer Search</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Mobile Camera Photo Capture</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Customer ID Auto-Generation</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9807"/>
            <w:gridSpan w:val="4"/>
            <w:shd w:val="clear" w:color="auto" w:fill="D6EAF8"/>
          </w:tcPr>
          <w:p>
            <w:pPr>
              <w:jc w:val="left"/>
            </w:pPr>
            <w:r>
              <w:rPr>
                <w:b/>
                <w:color w:val="1A56DB"/>
                <w:sz w:val="18"/>
              </w:rPr>
              <w:t>LOAN MANAGEMENT</w:t>
            </w:r>
          </w:p>
        </w:tc>
      </w:tr>
      <w:tr>
        <w:tc>
          <w:tcPr>
            <w:tcW w:type="dxa" w:w="4819"/>
          </w:tcPr>
          <w:p>
            <w:pPr>
              <w:jc w:val="left"/>
            </w:pPr>
            <w:r>
              <w:rPr>
                <w:sz w:val="18"/>
              </w:rPr>
              <w:t>Create Loans</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Auto-Calculate Interest / EMI / Due Date</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Loan ID Auto-Generation</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Loan Status Tracking (Active/Overdue/Cleared)</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Repayment Progress Bar</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Loan Status Filters</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Live Loan Calculator (real-time preview)</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Bulk Loan View with Days Overdue Badge</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9807"/>
            <w:gridSpan w:val="4"/>
            <w:shd w:val="clear" w:color="auto" w:fill="D6EAF8"/>
          </w:tcPr>
          <w:p>
            <w:pPr>
              <w:jc w:val="left"/>
            </w:pPr>
            <w:r>
              <w:rPr>
                <w:b/>
                <w:color w:val="1A56DB"/>
                <w:sz w:val="18"/>
              </w:rPr>
              <w:t>PAYMENTS &amp; PENALTIES</w:t>
            </w:r>
          </w:p>
        </w:tc>
      </w:tr>
      <w:tr>
        <w:tc>
          <w:tcPr>
            <w:tcW w:type="dxa" w:w="4819"/>
            <w:shd w:val="clear" w:color="auto" w:fill="F8FBFF"/>
          </w:tcPr>
          <w:p>
            <w:pPr>
              <w:jc w:val="left"/>
            </w:pPr>
            <w:r>
              <w:rPr>
                <w:sz w:val="18"/>
              </w:rPr>
              <w:t>Record Payments</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Payment History (Balance Before/After)</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Auto-Clear Loan on Full Payment</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Daily Penalty Auto-Calculation (APScheduler)</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Compound Daily Penalty on Outstanding</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Penalty Backfill (catches missed days)</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Penalty Log per Loan</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Manual Penalty Trigger (Admin Button)</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External Scheduler Hook (/hooks/run_penalty)</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color w:val="AAAAAA"/>
                <w:sz w:val="18"/>
              </w:rPr>
              <w:t>NO</w:t>
            </w:r>
          </w:p>
        </w:tc>
        <w:tc>
          <w:tcPr>
            <w:tcW w:type="dxa" w:w="1814"/>
            <w:shd w:val="clear" w:color="auto" w:fill="F8FBFF"/>
          </w:tcPr>
          <w:p>
            <w:pPr>
              <w:jc w:val="center"/>
            </w:pPr>
            <w:r>
              <w:rPr>
                <w:b/>
                <w:color w:val="1E8B3C"/>
                <w:sz w:val="18"/>
              </w:rPr>
              <w:t>YES</w:t>
            </w:r>
          </w:p>
        </w:tc>
      </w:tr>
      <w:tr>
        <w:tc>
          <w:tcPr>
            <w:tcW w:type="dxa" w:w="9807"/>
            <w:gridSpan w:val="4"/>
            <w:shd w:val="clear" w:color="auto" w:fill="D6EAF8"/>
          </w:tcPr>
          <w:p>
            <w:pPr>
              <w:jc w:val="left"/>
            </w:pPr>
            <w:r>
              <w:rPr>
                <w:b/>
                <w:color w:val="1A56DB"/>
                <w:sz w:val="18"/>
              </w:rPr>
              <w:t>USER MANAGEMENT</w:t>
            </w:r>
          </w:p>
        </w:tc>
      </w:tr>
      <w:tr>
        <w:tc>
          <w:tcPr>
            <w:tcW w:type="dxa" w:w="4819"/>
            <w:shd w:val="clear" w:color="auto" w:fill="F8FBFF"/>
          </w:tcPr>
          <w:p>
            <w:pPr>
              <w:jc w:val="left"/>
            </w:pPr>
            <w:r>
              <w:rPr>
                <w:sz w:val="18"/>
              </w:rPr>
              <w:t>Admin Role</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Field User Role</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Create / Delete Users</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Change Password</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Assign Customers to Field Users</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Assign Loans to Field Users</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Field User Dashboard (My Loans / Collections Today)</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Field User Customer List (assigned only)</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9807"/>
            <w:gridSpan w:val="4"/>
            <w:shd w:val="clear" w:color="auto" w:fill="D6EAF8"/>
          </w:tcPr>
          <w:p>
            <w:pPr>
              <w:jc w:val="left"/>
            </w:pPr>
            <w:r>
              <w:rPr>
                <w:b/>
                <w:color w:val="1A56DB"/>
                <w:sz w:val="18"/>
              </w:rPr>
              <w:t>ANALYTICS &amp; REPORTING</w:t>
            </w:r>
          </w:p>
        </w:tc>
      </w:tr>
      <w:tr>
        <w:tc>
          <w:tcPr>
            <w:tcW w:type="dxa" w:w="4819"/>
          </w:tcPr>
          <w:p>
            <w:pPr>
              <w:jc w:val="left"/>
            </w:pPr>
            <w:r>
              <w:rPr>
                <w:sz w:val="18"/>
              </w:rPr>
              <w:t>Admin Dashboard KPI Cards</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Recent Payments Table</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Top Overdue Loans List</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Monthly Disbursement vs Collections Bar Chart</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Loan Status Doughnut Chart</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Monthly Penalty Trend Line Chart</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color w:val="AAAAAA"/>
                <w:sz w:val="18"/>
              </w:rPr>
              <w:t>NO</w:t>
            </w:r>
          </w:p>
        </w:tc>
        <w:tc>
          <w:tcPr>
            <w:tcW w:type="dxa" w:w="1814"/>
            <w:shd w:val="clear" w:color="auto" w:fill="F8FBFF"/>
          </w:tcPr>
          <w:p>
            <w:pPr>
              <w:jc w:val="center"/>
            </w:pPr>
            <w:r>
              <w:rPr>
                <w:b/>
                <w:color w:val="1E8B3C"/>
                <w:sz w:val="18"/>
              </w:rPr>
              <w:t>YES</w:t>
            </w:r>
          </w:p>
        </w:tc>
      </w:tr>
      <w:tr>
        <w:tc>
          <w:tcPr>
            <w:tcW w:type="dxa" w:w="4819"/>
          </w:tcPr>
          <w:p>
            <w:pPr>
              <w:jc w:val="left"/>
            </w:pPr>
            <w:r>
              <w:rPr>
                <w:sz w:val="18"/>
              </w:rPr>
              <w:t>Field User Performance Table</w:t>
            </w:r>
          </w:p>
        </w:tc>
        <w:tc>
          <w:tcPr>
            <w:tcW w:type="dxa" w:w="1587"/>
          </w:tcPr>
          <w:p>
            <w:pPr>
              <w:jc w:val="center"/>
            </w:pPr>
            <w:r>
              <w:rPr>
                <w:color w:val="AAAAAA"/>
                <w:sz w:val="18"/>
              </w:rPr>
              <w:t>NO</w:t>
            </w:r>
          </w:p>
        </w:tc>
        <w:tc>
          <w:tcPr>
            <w:tcW w:type="dxa" w:w="1587"/>
          </w:tcPr>
          <w:p>
            <w:pPr>
              <w:jc w:val="center"/>
            </w:pPr>
            <w:r>
              <w:rPr>
                <w:color w:val="AAAAAA"/>
                <w:sz w:val="18"/>
              </w:rPr>
              <w:t>NO</w:t>
            </w:r>
          </w:p>
        </w:tc>
        <w:tc>
          <w:tcPr>
            <w:tcW w:type="dxa" w:w="1814"/>
          </w:tcPr>
          <w:p>
            <w:pPr>
              <w:jc w:val="center"/>
            </w:pPr>
            <w:r>
              <w:rPr>
                <w:b/>
                <w:color w:val="1E8B3C"/>
                <w:sz w:val="18"/>
              </w:rPr>
              <w:t>YES</w:t>
            </w:r>
          </w:p>
        </w:tc>
      </w:tr>
      <w:tr>
        <w:tc>
          <w:tcPr>
            <w:tcW w:type="dxa" w:w="4819"/>
            <w:shd w:val="clear" w:color="auto" w:fill="F8FBFF"/>
          </w:tcPr>
          <w:p>
            <w:pPr>
              <w:jc w:val="left"/>
            </w:pPr>
            <w:r>
              <w:rPr>
                <w:sz w:val="18"/>
              </w:rPr>
              <w:t>Top 10 Overdue Customers Table</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color w:val="AAAAAA"/>
                <w:sz w:val="18"/>
              </w:rPr>
              <w:t>NO</w:t>
            </w:r>
          </w:p>
        </w:tc>
        <w:tc>
          <w:tcPr>
            <w:tcW w:type="dxa" w:w="1814"/>
            <w:shd w:val="clear" w:color="auto" w:fill="F8FBFF"/>
          </w:tcPr>
          <w:p>
            <w:pPr>
              <w:jc w:val="center"/>
            </w:pPr>
            <w:r>
              <w:rPr>
                <w:b/>
                <w:color w:val="1E8B3C"/>
                <w:sz w:val="18"/>
              </w:rPr>
              <w:t>YES</w:t>
            </w:r>
          </w:p>
        </w:tc>
      </w:tr>
      <w:tr>
        <w:tc>
          <w:tcPr>
            <w:tcW w:type="dxa" w:w="9807"/>
            <w:gridSpan w:val="4"/>
            <w:shd w:val="clear" w:color="auto" w:fill="D6EAF8"/>
          </w:tcPr>
          <w:p>
            <w:pPr>
              <w:jc w:val="left"/>
            </w:pPr>
            <w:r>
              <w:rPr>
                <w:b/>
                <w:color w:val="1A56DB"/>
                <w:sz w:val="18"/>
              </w:rPr>
              <w:t>SYSTEM &amp; DEPLOYMENT</w:t>
            </w:r>
          </w:p>
        </w:tc>
      </w:tr>
      <w:tr>
        <w:tc>
          <w:tcPr>
            <w:tcW w:type="dxa" w:w="4819"/>
            <w:shd w:val="clear" w:color="auto" w:fill="F8FBFF"/>
          </w:tcPr>
          <w:p>
            <w:pPr>
              <w:jc w:val="left"/>
            </w:pPr>
            <w:r>
              <w:rPr>
                <w:sz w:val="18"/>
              </w:rPr>
              <w:t>Flask + Supabase Cloud Database</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Role-Based Access Control</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Responsive UI (Bootstrap 5)</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Local File Upload (Static Folder)</w:t>
            </w:r>
          </w:p>
        </w:tc>
        <w:tc>
          <w:tcPr>
            <w:tcW w:type="dxa" w:w="1587"/>
          </w:tcPr>
          <w:p>
            <w:pPr>
              <w:jc w:val="center"/>
            </w:pPr>
            <w:r>
              <w:rPr>
                <w:b/>
                <w:color w:val="1E8B3C"/>
                <w:sz w:val="18"/>
              </w:rPr>
              <w:t>YES</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Supabase Storage (Cloud File Uploads)</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Vercel Deployment Support</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Gunicorn Production Server Config</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API Endpoints (Calculate / Loan Status / Summary)</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IST Timezone-Aware Scheduler</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9807"/>
            <w:gridSpan w:val="4"/>
            <w:shd w:val="clear" w:color="auto" w:fill="D6EAF8"/>
          </w:tcPr>
          <w:p>
            <w:pPr>
              <w:jc w:val="left"/>
            </w:pPr>
            <w:r>
              <w:rPr>
                <w:b/>
                <w:color w:val="1A56DB"/>
                <w:sz w:val="18"/>
              </w:rPr>
              <w:t>SUPPORT</w:t>
            </w:r>
          </w:p>
        </w:tc>
      </w:tr>
      <w:tr>
        <w:tc>
          <w:tcPr>
            <w:tcW w:type="dxa" w:w="4819"/>
            <w:shd w:val="clear" w:color="auto" w:fill="F8FBFF"/>
          </w:tcPr>
          <w:p>
            <w:pPr>
              <w:jc w:val="left"/>
            </w:pPr>
            <w:r>
              <w:rPr>
                <w:sz w:val="18"/>
              </w:rPr>
              <w:t>Bug Fixes (post-delivery)</w:t>
            </w:r>
          </w:p>
        </w:tc>
        <w:tc>
          <w:tcPr>
            <w:tcW w:type="dxa" w:w="1587"/>
            <w:shd w:val="clear" w:color="auto" w:fill="F8FBFF"/>
          </w:tcPr>
          <w:p>
            <w:pPr>
              <w:jc w:val="center"/>
            </w:pPr>
            <w:r>
              <w:rPr>
                <w:sz w:val="18"/>
              </w:rPr>
              <w:t>30 days</w:t>
            </w:r>
          </w:p>
        </w:tc>
        <w:tc>
          <w:tcPr>
            <w:tcW w:type="dxa" w:w="1587"/>
            <w:shd w:val="clear" w:color="auto" w:fill="F8FBFF"/>
          </w:tcPr>
          <w:p>
            <w:pPr>
              <w:jc w:val="center"/>
            </w:pPr>
            <w:r>
              <w:rPr>
                <w:sz w:val="18"/>
              </w:rPr>
              <w:t>60 days</w:t>
            </w:r>
          </w:p>
        </w:tc>
        <w:tc>
          <w:tcPr>
            <w:tcW w:type="dxa" w:w="1814"/>
            <w:shd w:val="clear" w:color="auto" w:fill="F8FBFF"/>
          </w:tcPr>
          <w:p>
            <w:pPr>
              <w:jc w:val="center"/>
            </w:pPr>
            <w:r>
              <w:rPr>
                <w:sz w:val="18"/>
              </w:rPr>
              <w:t>90 days</w:t>
            </w:r>
          </w:p>
        </w:tc>
      </w:tr>
      <w:tr>
        <w:tc>
          <w:tcPr>
            <w:tcW w:type="dxa" w:w="4819"/>
          </w:tcPr>
          <w:p>
            <w:pPr>
              <w:jc w:val="left"/>
            </w:pPr>
            <w:r>
              <w:rPr>
                <w:sz w:val="18"/>
              </w:rPr>
              <w:t>Training Sessions</w:t>
            </w:r>
          </w:p>
        </w:tc>
        <w:tc>
          <w:tcPr>
            <w:tcW w:type="dxa" w:w="1587"/>
          </w:tcPr>
          <w:p>
            <w:pPr>
              <w:jc w:val="center"/>
            </w:pPr>
            <w:r>
              <w:rPr>
                <w:sz w:val="18"/>
              </w:rPr>
              <w:t>1 session</w:t>
            </w:r>
          </w:p>
        </w:tc>
        <w:tc>
          <w:tcPr>
            <w:tcW w:type="dxa" w:w="1587"/>
          </w:tcPr>
          <w:p>
            <w:pPr>
              <w:jc w:val="center"/>
            </w:pPr>
            <w:r>
              <w:rPr>
                <w:sz w:val="18"/>
              </w:rPr>
              <w:t>2 sessions</w:t>
            </w:r>
          </w:p>
        </w:tc>
        <w:tc>
          <w:tcPr>
            <w:tcW w:type="dxa" w:w="1814"/>
          </w:tcPr>
          <w:p>
            <w:pPr>
              <w:jc w:val="center"/>
            </w:pPr>
            <w:r>
              <w:rPr>
                <w:sz w:val="18"/>
              </w:rPr>
              <w:t>3 sessions</w:t>
            </w:r>
          </w:p>
        </w:tc>
      </w:tr>
      <w:tr>
        <w:tc>
          <w:tcPr>
            <w:tcW w:type="dxa" w:w="4819"/>
            <w:shd w:val="clear" w:color="auto" w:fill="F8FBFF"/>
          </w:tcPr>
          <w:p>
            <w:pPr>
              <w:jc w:val="left"/>
            </w:pPr>
            <w:r>
              <w:rPr>
                <w:sz w:val="18"/>
              </w:rPr>
              <w:t>Source Code Delivery</w:t>
            </w:r>
          </w:p>
        </w:tc>
        <w:tc>
          <w:tcPr>
            <w:tcW w:type="dxa" w:w="1587"/>
            <w:shd w:val="clear" w:color="auto" w:fill="F8FBFF"/>
          </w:tcPr>
          <w:p>
            <w:pPr>
              <w:jc w:val="center"/>
            </w:pPr>
            <w:r>
              <w:rPr>
                <w:b/>
                <w:color w:val="1E8B3C"/>
                <w:sz w:val="18"/>
              </w:rPr>
              <w:t>YES</w:t>
            </w:r>
          </w:p>
        </w:tc>
        <w:tc>
          <w:tcPr>
            <w:tcW w:type="dxa" w:w="1587"/>
            <w:shd w:val="clear" w:color="auto" w:fill="F8FBFF"/>
          </w:tcPr>
          <w:p>
            <w:pPr>
              <w:jc w:val="center"/>
            </w:pPr>
            <w:r>
              <w:rPr>
                <w:b/>
                <w:color w:val="1E8B3C"/>
                <w:sz w:val="18"/>
              </w:rPr>
              <w:t>YES</w:t>
            </w:r>
          </w:p>
        </w:tc>
        <w:tc>
          <w:tcPr>
            <w:tcW w:type="dxa" w:w="1814"/>
            <w:shd w:val="clear" w:color="auto" w:fill="F8FBFF"/>
          </w:tcPr>
          <w:p>
            <w:pPr>
              <w:jc w:val="center"/>
            </w:pPr>
            <w:r>
              <w:rPr>
                <w:b/>
                <w:color w:val="1E8B3C"/>
                <w:sz w:val="18"/>
              </w:rPr>
              <w:t>YES</w:t>
            </w:r>
          </w:p>
        </w:tc>
      </w:tr>
      <w:tr>
        <w:tc>
          <w:tcPr>
            <w:tcW w:type="dxa" w:w="4819"/>
          </w:tcPr>
          <w:p>
            <w:pPr>
              <w:jc w:val="left"/>
            </w:pPr>
            <w:r>
              <w:rPr>
                <w:sz w:val="18"/>
              </w:rPr>
              <w:t>Deployment Assistance</w:t>
            </w:r>
          </w:p>
        </w:tc>
        <w:tc>
          <w:tcPr>
            <w:tcW w:type="dxa" w:w="1587"/>
          </w:tcPr>
          <w:p>
            <w:pPr>
              <w:jc w:val="center"/>
            </w:pPr>
            <w:r>
              <w:rPr>
                <w:color w:val="AAAAAA"/>
                <w:sz w:val="18"/>
              </w:rPr>
              <w:t>NO</w:t>
            </w:r>
          </w:p>
        </w:tc>
        <w:tc>
          <w:tcPr>
            <w:tcW w:type="dxa" w:w="1587"/>
          </w:tcPr>
          <w:p>
            <w:pPr>
              <w:jc w:val="center"/>
            </w:pPr>
            <w:r>
              <w:rPr>
                <w:b/>
                <w:color w:val="1E8B3C"/>
                <w:sz w:val="18"/>
              </w:rPr>
              <w:t>YES</w:t>
            </w:r>
          </w:p>
        </w:tc>
        <w:tc>
          <w:tcPr>
            <w:tcW w:type="dxa" w:w="1814"/>
          </w:tcPr>
          <w:p>
            <w:pPr>
              <w:jc w:val="center"/>
            </w:pPr>
            <w:r>
              <w:rPr>
                <w:b/>
                <w:color w:val="1E8B3C"/>
                <w:sz w:val="18"/>
              </w:rPr>
              <w:t>YES</w:t>
            </w:r>
          </w:p>
        </w:tc>
      </w:tr>
      <w:tr>
        <w:tc>
          <w:tcPr>
            <w:tcW w:type="dxa" w:w="4819"/>
            <w:shd w:val="clear" w:color="auto" w:fill="F8FBFF"/>
          </w:tcPr>
          <w:p>
            <w:pPr>
              <w:jc w:val="left"/>
            </w:pPr>
            <w:r>
              <w:rPr>
                <w:sz w:val="18"/>
              </w:rPr>
              <w:t>Custom Branding (Logo, Colors)</w:t>
            </w:r>
          </w:p>
        </w:tc>
        <w:tc>
          <w:tcPr>
            <w:tcW w:type="dxa" w:w="1587"/>
            <w:shd w:val="clear" w:color="auto" w:fill="F8FBFF"/>
          </w:tcPr>
          <w:p>
            <w:pPr>
              <w:jc w:val="center"/>
            </w:pPr>
            <w:r>
              <w:rPr>
                <w:color w:val="AAAAAA"/>
                <w:sz w:val="18"/>
              </w:rPr>
              <w:t>NO</w:t>
            </w:r>
          </w:p>
        </w:tc>
        <w:tc>
          <w:tcPr>
            <w:tcW w:type="dxa" w:w="1587"/>
            <w:shd w:val="clear" w:color="auto" w:fill="F8FBFF"/>
          </w:tcPr>
          <w:p>
            <w:pPr>
              <w:jc w:val="center"/>
            </w:pPr>
            <w:r>
              <w:rPr>
                <w:color w:val="AAAAAA"/>
                <w:sz w:val="18"/>
              </w:rPr>
              <w:t>NO</w:t>
            </w:r>
          </w:p>
        </w:tc>
        <w:tc>
          <w:tcPr>
            <w:tcW w:type="dxa" w:w="1814"/>
            <w:shd w:val="clear" w:color="auto" w:fill="F8FBFF"/>
          </w:tcPr>
          <w:p>
            <w:pPr>
              <w:jc w:val="center"/>
            </w:pPr>
            <w:r>
              <w:rPr>
                <w:b/>
                <w:color w:val="1E8B3C"/>
                <w:sz w:val="18"/>
              </w:rPr>
              <w:t>YES</w:t>
            </w:r>
          </w:p>
        </w:tc>
      </w:tr>
      <w:tr>
        <w:tc>
          <w:tcPr>
            <w:tcW w:type="dxa" w:w="4819"/>
          </w:tcPr>
          <w:p>
            <w:pPr>
              <w:jc w:val="left"/>
            </w:pPr>
            <w:r>
              <w:rPr>
                <w:sz w:val="18"/>
              </w:rPr>
              <w:t>Priority Support</w:t>
            </w:r>
          </w:p>
        </w:tc>
        <w:tc>
          <w:tcPr>
            <w:tcW w:type="dxa" w:w="1587"/>
          </w:tcPr>
          <w:p>
            <w:pPr>
              <w:jc w:val="center"/>
            </w:pPr>
            <w:r>
              <w:rPr>
                <w:color w:val="AAAAAA"/>
                <w:sz w:val="18"/>
              </w:rPr>
              <w:t>NO</w:t>
            </w:r>
          </w:p>
        </w:tc>
        <w:tc>
          <w:tcPr>
            <w:tcW w:type="dxa" w:w="1587"/>
          </w:tcPr>
          <w:p>
            <w:pPr>
              <w:jc w:val="center"/>
            </w:pPr>
            <w:r>
              <w:rPr>
                <w:color w:val="AAAAAA"/>
                <w:sz w:val="18"/>
              </w:rPr>
              <w:t>NO</w:t>
            </w:r>
          </w:p>
        </w:tc>
        <w:tc>
          <w:tcPr>
            <w:tcW w:type="dxa" w:w="1814"/>
          </w:tcPr>
          <w:p>
            <w:pPr>
              <w:jc w:val="center"/>
            </w:pPr>
            <w:r>
              <w:rPr>
                <w:b/>
                <w:color w:val="1E8B3C"/>
                <w:sz w:val="18"/>
              </w:rPr>
              <w:t>YES</w:t>
            </w:r>
          </w:p>
        </w:tc>
      </w:tr>
    </w:tbl>
    <w:p/>
    <w:p>
      <w:pPr>
        <w:spacing w:before="160" w:after="120"/>
      </w:pPr>
      <w:r>
        <w:rPr>
          <w:b/>
          <w:color w:val="1A56DB"/>
          <w:sz w:val="24"/>
        </w:rPr>
        <w:t>PRICING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56DB"/>
          </w:tcPr>
          <w:p>
            <w:pPr>
              <w:jc w:val="center"/>
            </w:pPr>
            <w:r>
              <w:rPr>
                <w:b/>
                <w:color w:val="FFFFFF"/>
                <w:sz w:val="20"/>
              </w:rPr>
              <w:t>Tier</w:t>
            </w:r>
          </w:p>
        </w:tc>
        <w:tc>
          <w:tcPr>
            <w:tcW w:type="dxa" w:w="2351"/>
            <w:shd w:val="clear" w:color="auto" w:fill="1A56DB"/>
          </w:tcPr>
          <w:p>
            <w:pPr>
              <w:jc w:val="center"/>
            </w:pPr>
            <w:r>
              <w:rPr>
                <w:b/>
                <w:color w:val="FFFFFF"/>
                <w:sz w:val="20"/>
              </w:rPr>
              <w:t>One-Time Cost</w:t>
            </w:r>
          </w:p>
        </w:tc>
        <w:tc>
          <w:tcPr>
            <w:tcW w:type="dxa" w:w="2351"/>
            <w:shd w:val="clear" w:color="auto" w:fill="1A56DB"/>
          </w:tcPr>
          <w:p>
            <w:pPr>
              <w:jc w:val="center"/>
            </w:pPr>
            <w:r>
              <w:rPr>
                <w:b/>
                <w:color w:val="FFFFFF"/>
                <w:sz w:val="20"/>
              </w:rPr>
              <w:t>Annual Maintenance</w:t>
            </w:r>
          </w:p>
        </w:tc>
        <w:tc>
          <w:tcPr>
            <w:tcW w:type="dxa" w:w="2351"/>
            <w:shd w:val="clear" w:color="auto" w:fill="1A56DB"/>
          </w:tcPr>
          <w:p>
            <w:pPr>
              <w:jc w:val="center"/>
            </w:pPr>
            <w:r>
              <w:rPr>
                <w:b/>
                <w:color w:val="FFFFFF"/>
                <w:sz w:val="20"/>
              </w:rPr>
              <w:t>Best For</w:t>
            </w:r>
          </w:p>
        </w:tc>
      </w:tr>
      <w:tr>
        <w:tc>
          <w:tcPr>
            <w:tcW w:type="dxa" w:w="2351"/>
            <w:shd w:val="clear" w:color="auto" w:fill="EBF5FB"/>
          </w:tcPr>
          <w:p>
            <w:pPr>
              <w:jc w:val="center"/>
            </w:pPr>
            <w:r>
              <w:rPr>
                <w:b/>
                <w:sz w:val="20"/>
              </w:rPr>
              <w:t>Basic</w:t>
            </w:r>
          </w:p>
        </w:tc>
        <w:tc>
          <w:tcPr>
            <w:tcW w:type="dxa" w:w="2351"/>
            <w:shd w:val="clear" w:color="auto" w:fill="EBF5FB"/>
          </w:tcPr>
          <w:p>
            <w:pPr>
              <w:jc w:val="center"/>
            </w:pPr>
            <w:r>
              <w:rPr>
                <w:sz w:val="20"/>
              </w:rPr>
              <w:t>₹25,000</w:t>
            </w:r>
          </w:p>
        </w:tc>
        <w:tc>
          <w:tcPr>
            <w:tcW w:type="dxa" w:w="2351"/>
            <w:shd w:val="clear" w:color="auto" w:fill="EBF5FB"/>
          </w:tcPr>
          <w:p>
            <w:pPr>
              <w:jc w:val="center"/>
            </w:pPr>
            <w:r>
              <w:rPr>
                <w:sz w:val="20"/>
              </w:rPr>
              <w:t>₹5,000/yr</w:t>
            </w:r>
          </w:p>
        </w:tc>
        <w:tc>
          <w:tcPr>
            <w:tcW w:type="dxa" w:w="2351"/>
            <w:shd w:val="clear" w:color="auto" w:fill="EBF5FB"/>
          </w:tcPr>
          <w:p>
            <w:pPr>
              <w:jc w:val="left"/>
            </w:pPr>
            <w:r>
              <w:rPr>
                <w:sz w:val="20"/>
              </w:rPr>
              <w:t>Single admin, small operation, manual penalty tracking</w:t>
            </w:r>
          </w:p>
        </w:tc>
      </w:tr>
      <w:tr>
        <w:tc>
          <w:tcPr>
            <w:tcW w:type="dxa" w:w="2351"/>
            <w:shd w:val="clear" w:color="auto" w:fill="D6EAF8"/>
          </w:tcPr>
          <w:p>
            <w:pPr>
              <w:jc w:val="center"/>
            </w:pPr>
            <w:r>
              <w:rPr>
                <w:b/>
                <w:sz w:val="20"/>
              </w:rPr>
              <w:t>Pro</w:t>
            </w:r>
          </w:p>
        </w:tc>
        <w:tc>
          <w:tcPr>
            <w:tcW w:type="dxa" w:w="2351"/>
            <w:shd w:val="clear" w:color="auto" w:fill="D6EAF8"/>
          </w:tcPr>
          <w:p>
            <w:pPr>
              <w:jc w:val="center"/>
            </w:pPr>
            <w:r>
              <w:rPr>
                <w:sz w:val="20"/>
              </w:rPr>
              <w:t>₹45,000</w:t>
            </w:r>
          </w:p>
        </w:tc>
        <w:tc>
          <w:tcPr>
            <w:tcW w:type="dxa" w:w="2351"/>
            <w:shd w:val="clear" w:color="auto" w:fill="D6EAF8"/>
          </w:tcPr>
          <w:p>
            <w:pPr>
              <w:jc w:val="center"/>
            </w:pPr>
            <w:r>
              <w:rPr>
                <w:sz w:val="20"/>
              </w:rPr>
              <w:t>₹8,000/yr</w:t>
            </w:r>
          </w:p>
        </w:tc>
        <w:tc>
          <w:tcPr>
            <w:tcW w:type="dxa" w:w="2351"/>
            <w:shd w:val="clear" w:color="auto" w:fill="D6EAF8"/>
          </w:tcPr>
          <w:p>
            <w:pPr>
              <w:jc w:val="left"/>
            </w:pPr>
            <w:r>
              <w:rPr>
                <w:sz w:val="20"/>
              </w:rPr>
              <w:t>Small team with field agents, automated penalties, cloud hosting</w:t>
            </w:r>
          </w:p>
        </w:tc>
      </w:tr>
      <w:tr>
        <w:tc>
          <w:tcPr>
            <w:tcW w:type="dxa" w:w="2351"/>
            <w:shd w:val="clear" w:color="auto" w:fill="AED6F1"/>
          </w:tcPr>
          <w:p>
            <w:pPr>
              <w:jc w:val="center"/>
            </w:pPr>
            <w:r>
              <w:rPr>
                <w:b/>
                <w:sz w:val="20"/>
              </w:rPr>
              <w:t>Pro Plus</w:t>
            </w:r>
          </w:p>
        </w:tc>
        <w:tc>
          <w:tcPr>
            <w:tcW w:type="dxa" w:w="2351"/>
            <w:shd w:val="clear" w:color="auto" w:fill="AED6F1"/>
          </w:tcPr>
          <w:p>
            <w:pPr>
              <w:jc w:val="center"/>
            </w:pPr>
            <w:r>
              <w:rPr>
                <w:sz w:val="20"/>
              </w:rPr>
              <w:t>₹75,000</w:t>
            </w:r>
          </w:p>
        </w:tc>
        <w:tc>
          <w:tcPr>
            <w:tcW w:type="dxa" w:w="2351"/>
            <w:shd w:val="clear" w:color="auto" w:fill="AED6F1"/>
          </w:tcPr>
          <w:p>
            <w:pPr>
              <w:jc w:val="center"/>
            </w:pPr>
            <w:r>
              <w:rPr>
                <w:sz w:val="20"/>
              </w:rPr>
              <w:t>₹12,000/yr</w:t>
            </w:r>
          </w:p>
        </w:tc>
        <w:tc>
          <w:tcPr>
            <w:tcW w:type="dxa" w:w="2351"/>
            <w:shd w:val="clear" w:color="auto" w:fill="AED6F1"/>
          </w:tcPr>
          <w:p>
            <w:pPr>
              <w:jc w:val="left"/>
            </w:pPr>
            <w:r>
              <w:rPr>
                <w:sz w:val="20"/>
              </w:rPr>
              <w:t>Full-scale NBFC / lending business with advanced analytics &amp; priority support</w:t>
            </w:r>
          </w:p>
        </w:tc>
      </w:tr>
    </w:tbl>
    <w:p/>
    <w:p>
      <w:pPr>
        <w:spacing w:before="160" w:after="120"/>
      </w:pPr>
      <w:r>
        <w:rPr>
          <w:b/>
          <w:color w:val="1A56DB"/>
          <w:sz w:val="24"/>
        </w:rPr>
        <w:t>OPTIONAL ADD-ONS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DB"/>
          </w:tcPr>
          <w:p>
            <w:r>
              <w:rPr>
                <w:b/>
                <w:color w:val="FFFFFF"/>
                <w:sz w:val="20"/>
              </w:rPr>
              <w:t>Add-On</w:t>
            </w:r>
          </w:p>
        </w:tc>
        <w:tc>
          <w:tcPr>
            <w:tcW w:type="dxa" w:w="4703"/>
            <w:shd w:val="clear" w:color="auto" w:fill="1A56DB"/>
          </w:tcPr>
          <w:p>
            <w:r>
              <w:rPr>
                <w:b/>
                <w:color w:val="FFFFFF"/>
                <w:sz w:val="20"/>
              </w:rPr>
              <w:t>Cost</w:t>
            </w:r>
          </w:p>
        </w:tc>
      </w:tr>
      <w:tr>
        <w:tc>
          <w:tcPr>
            <w:tcW w:type="dxa" w:w="4703"/>
            <w:shd w:val="clear" w:color="auto" w:fill="F8FBFF"/>
          </w:tcPr>
          <w:p>
            <w:r>
              <w:rPr>
                <w:sz w:val="20"/>
              </w:rPr>
              <w:t>WhatsApp / SMS Payment Reminders Integration</w:t>
            </w:r>
          </w:p>
        </w:tc>
        <w:tc>
          <w:tcPr>
            <w:tcW w:type="dxa" w:w="4703"/>
            <w:shd w:val="clear" w:color="auto" w:fill="F8FBFF"/>
          </w:tcPr>
          <w:p>
            <w:pPr>
              <w:jc w:val="center"/>
            </w:pPr>
            <w:r>
              <w:rPr>
                <w:sz w:val="20"/>
              </w:rPr>
              <w:t>₹10,000</w:t>
            </w:r>
          </w:p>
        </w:tc>
      </w:tr>
      <w:tr>
        <w:tc>
          <w:tcPr>
            <w:tcW w:type="dxa" w:w="4703"/>
          </w:tcPr>
          <w:p>
            <w:r>
              <w:rPr>
                <w:sz w:val="20"/>
              </w:rPr>
              <w:t>PDF Loan Agreement / Receipt Generation</w:t>
            </w:r>
          </w:p>
        </w:tc>
        <w:tc>
          <w:tcPr>
            <w:tcW w:type="dxa" w:w="4703"/>
          </w:tcPr>
          <w:p>
            <w:pPr>
              <w:jc w:val="center"/>
            </w:pPr>
            <w:r>
              <w:rPr>
                <w:sz w:val="20"/>
              </w:rPr>
              <w:t>₹8,000</w:t>
            </w:r>
          </w:p>
        </w:tc>
      </w:tr>
      <w:tr>
        <w:tc>
          <w:tcPr>
            <w:tcW w:type="dxa" w:w="4703"/>
            <w:shd w:val="clear" w:color="auto" w:fill="F8FBFF"/>
          </w:tcPr>
          <w:p>
            <w:r>
              <w:rPr>
                <w:sz w:val="20"/>
              </w:rPr>
              <w:t>Excel / CSV Export (Customers, Loans, Payments)</w:t>
            </w:r>
          </w:p>
        </w:tc>
        <w:tc>
          <w:tcPr>
            <w:tcW w:type="dxa" w:w="4703"/>
            <w:shd w:val="clear" w:color="auto" w:fill="F8FBFF"/>
          </w:tcPr>
          <w:p>
            <w:pPr>
              <w:jc w:val="center"/>
            </w:pPr>
            <w:r>
              <w:rPr>
                <w:sz w:val="20"/>
              </w:rPr>
              <w:t>₹5,000</w:t>
            </w:r>
          </w:p>
        </w:tc>
      </w:tr>
      <w:tr>
        <w:tc>
          <w:tcPr>
            <w:tcW w:type="dxa" w:w="4703"/>
          </w:tcPr>
          <w:p>
            <w:r>
              <w:rPr>
                <w:sz w:val="20"/>
              </w:rPr>
              <w:t>Custom Mobile App (Android)</w:t>
            </w:r>
          </w:p>
        </w:tc>
        <w:tc>
          <w:tcPr>
            <w:tcW w:type="dxa" w:w="4703"/>
          </w:tcPr>
          <w:p>
            <w:pPr>
              <w:jc w:val="center"/>
            </w:pPr>
            <w:r>
              <w:rPr>
                <w:sz w:val="20"/>
              </w:rPr>
              <w:t>₹40,000</w:t>
            </w:r>
          </w:p>
        </w:tc>
      </w:tr>
      <w:tr>
        <w:tc>
          <w:tcPr>
            <w:tcW w:type="dxa" w:w="4703"/>
            <w:shd w:val="clear" w:color="auto" w:fill="F8FBFF"/>
          </w:tcPr>
          <w:p>
            <w:r>
              <w:rPr>
                <w:sz w:val="20"/>
              </w:rPr>
              <w:t>Multi-Branch / Multi-Company Support</w:t>
            </w:r>
          </w:p>
        </w:tc>
        <w:tc>
          <w:tcPr>
            <w:tcW w:type="dxa" w:w="4703"/>
            <w:shd w:val="clear" w:color="auto" w:fill="F8FBFF"/>
          </w:tcPr>
          <w:p>
            <w:pPr>
              <w:jc w:val="center"/>
            </w:pPr>
            <w:r>
              <w:rPr>
                <w:sz w:val="20"/>
              </w:rPr>
              <w:t>₹20,000</w:t>
            </w:r>
          </w:p>
        </w:tc>
      </w:tr>
      <w:tr>
        <w:tc>
          <w:tcPr>
            <w:tcW w:type="dxa" w:w="4703"/>
          </w:tcPr>
          <w:p>
            <w:r>
              <w:rPr>
                <w:sz w:val="20"/>
              </w:rPr>
              <w:t>Additional Training Session (per session)</w:t>
            </w:r>
          </w:p>
        </w:tc>
        <w:tc>
          <w:tcPr>
            <w:tcW w:type="dxa" w:w="4703"/>
          </w:tcPr>
          <w:p>
            <w:pPr>
              <w:jc w:val="center"/>
            </w:pPr>
            <w:r>
              <w:rPr>
                <w:sz w:val="20"/>
              </w:rPr>
              <w:t>₹2,000</w:t>
            </w:r>
          </w:p>
        </w:tc>
      </w:tr>
    </w:tbl>
    <w:p/>
    <w:p>
      <w:pPr>
        <w:spacing w:before="0" w:after="80"/>
        <w:pBdr>
          <w:bottom w:val="single" w:sz="6" w:space="1" w:color="000000"/>
        </w:pBdr>
      </w:pPr>
    </w:p>
    <w:p>
      <w:pPr>
        <w:spacing w:before="160" w:after="80"/>
      </w:pPr>
      <w:r>
        <w:rPr>
          <w:b/>
          <w:color w:val="1A56DB"/>
          <w:sz w:val="24"/>
        </w:rPr>
        <w:t>TERMS</w:t>
      </w:r>
    </w:p>
    <w:p>
      <w:pPr>
        <w:pStyle w:val="ListBullet"/>
        <w:spacing w:before="40" w:after="40"/>
      </w:pPr>
      <w:r>
        <w:rPr>
          <w:sz w:val="20"/>
        </w:rPr>
        <w:t>50% advance at order confirmation, 50% on delivery.</w:t>
      </w:r>
    </w:p>
    <w:p>
      <w:pPr>
        <w:pStyle w:val="ListBullet"/>
        <w:spacing w:before="40" w:after="40"/>
      </w:pPr>
      <w:r>
        <w:rPr>
          <w:sz w:val="20"/>
        </w:rPr>
        <w:t>Delivery timeline: Basic (3-5 days), Pro (5-7 days), Pro Plus (7-10 days).</w:t>
      </w:r>
    </w:p>
    <w:p>
      <w:pPr>
        <w:pStyle w:val="ListBullet"/>
        <w:spacing w:before="40" w:after="40"/>
      </w:pPr>
      <w:r>
        <w:rPr>
          <w:sz w:val="20"/>
        </w:rPr>
        <w:t>GST applicable at 18% on all amounts.</w:t>
      </w:r>
    </w:p>
    <w:p>
      <w:pPr>
        <w:pStyle w:val="ListBullet"/>
        <w:spacing w:before="40" w:after="40"/>
      </w:pPr>
      <w:r>
        <w:rPr>
          <w:sz w:val="20"/>
        </w:rPr>
        <w:t>Prices valid for 30 days from date of quotation.</w:t>
      </w:r>
    </w:p>
    <w:p>
      <w:pPr>
        <w:spacing w:before="160" w:after="80"/>
      </w:pPr>
      <w:r>
        <w:rPr>
          <w:i/>
          <w:color w:val="555555"/>
          <w:sz w:val="20"/>
        </w:rPr>
        <w:t>Note: The software described above is already fully built. All tiers deliver the same codebase — tier pricing reflects licensing, deployment scope, support level, and feature enablement configuration.</w:t>
      </w:r>
    </w:p>
    <w:p/>
    <w:p>
      <w:pPr>
        <w:spacing w:before="120" w:after="0"/>
        <w:jc w:val="center"/>
      </w:pPr>
      <w:r>
        <w:rPr>
          <w:i/>
          <w:color w:val="777777"/>
          <w:sz w:val="18"/>
        </w:rPr>
        <w:t>ZEONY TECHNOLOGIES  |  See the Future, Build it with Zeony  |  April 30, 2026</w:t>
      </w:r>
    </w:p>
    <w:sectPr w:rsidR="00FC693F" w:rsidRPr="0006063C" w:rsidSect="00034616">
      <w:pgSz w:w="12240" w:h="15840"/>
      <w:pgMar w:top="85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