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0B61A4"/>
          <w:sz w:val="64"/>
        </w:rPr>
        <w:t>PSB SecureWealth Twin</w:t>
      </w:r>
    </w:p>
    <w:p>
      <w:pPr>
        <w:spacing w:after="720"/>
        <w:jc w:val="center"/>
      </w:pPr>
      <w:r>
        <w:rPr>
          <w:color w:val="333333"/>
          <w:sz w:val="36"/>
        </w:rPr>
        <w:t>Problem Statement, Solutions &amp; Innovation Blueprint</w:t>
      </w:r>
    </w:p>
    <w:p>
      <w:pPr>
        <w:spacing w:after="240"/>
        <w:jc w:val="center"/>
      </w:pPr>
      <w:r>
        <w:rPr>
          <w:i/>
          <w:sz w:val="28"/>
        </w:rPr>
        <w:t>Punjab &amp; Sind Bank — PSB Hackathon 2026</w:t>
        <w:br/>
        <w:t>DS Financial Solutions</w:t>
      </w:r>
    </w:p>
    <w:p>
      <w:pPr>
        <w:spacing w:after="480" w:line="360" w:lineRule="auto"/>
        <w:jc w:val="left"/>
      </w:pPr>
      <w:r>
        <w:rPr>
          <w:b w:val="0"/>
          <w:i w:val="0"/>
          <w:sz w:val="22"/>
        </w:rPr>
      </w:r>
    </w:p>
    <w:p>
      <w:pPr>
        <w:jc w:val="center"/>
      </w:pPr>
      <w:r>
        <w:rPr>
          <w:i/>
          <w:color w:val="555555"/>
          <w:sz w:val="24"/>
        </w:rPr>
        <w:t>This document maps every requirement of the PSB Hackathon problem statement to a concrete solution, then enumerates the cutting-edge innovations built into the SecureWealth Twin platform.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1. Executive Summary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Public Sector Banks (PSBs) in India serve hundreds of millions of retail, SME, and rural customers. Yet most digital banking experiences remain transaction-oriented: check balance, transfer funds, pay bills. The PSB Hackathon 2026 asks participants to reimagine internet banking as a proactive, intelligent, and inclusive wealth companion.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PSB SecureWealth Twin is our answer. It is a full-stack, AI-native internet banking platform that transforms a PSB account from a passive ledger into a dynamic "wealth twin" — a digital mirror of the customer's financial life that thinks ahead, protects against fraud, optimizes taxes, and nudges behaviour toward long-term prosperity.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The platform is engineered around five design principles that directly address the problem statement:</w:t>
      </w:r>
    </w:p>
    <w:p>
      <w:pPr>
        <w:pStyle w:val="ListBullet"/>
        <w:spacing w:after="80" w:line="360" w:lineRule="auto"/>
      </w:pPr>
      <w:r>
        <w:rPr>
          <w:sz w:val="22"/>
        </w:rPr>
        <w:t>Unified View: All accounts, goals, assets, liabilities, and cash flows in one dashboard.</w:t>
      </w:r>
    </w:p>
    <w:p>
      <w:pPr>
        <w:pStyle w:val="ListBullet"/>
        <w:spacing w:after="80" w:line="360" w:lineRule="auto"/>
      </w:pPr>
      <w:r>
        <w:rPr>
          <w:sz w:val="22"/>
        </w:rPr>
        <w:t>Proactive Intelligence: AI-driven recommendations, life-shock simulations, and macro signals.</w:t>
      </w:r>
    </w:p>
    <w:p>
      <w:pPr>
        <w:pStyle w:val="ListBullet"/>
        <w:spacing w:after="80" w:line="360" w:lineRule="auto"/>
      </w:pPr>
      <w:r>
        <w:rPr>
          <w:sz w:val="22"/>
        </w:rPr>
        <w:t>Trust &amp; Safety: Deepfake voice shield, behavioural biometrics, decoy accounts, and Rakshak AI.</w:t>
      </w:r>
    </w:p>
    <w:p>
      <w:pPr>
        <w:pStyle w:val="ListBullet"/>
        <w:spacing w:after="80" w:line="360" w:lineRule="auto"/>
      </w:pPr>
      <w:r>
        <w:rPr>
          <w:sz w:val="22"/>
        </w:rPr>
        <w:t>Inclusion: Senior mode, vernacular UI, accessibility, and simplified journeys for non-tech users.</w:t>
      </w:r>
    </w:p>
    <w:p>
      <w:pPr>
        <w:pStyle w:val="ListBullet"/>
        <w:spacing w:after="80" w:line="360" w:lineRule="auto"/>
      </w:pPr>
      <w:r>
        <w:rPr>
          <w:sz w:val="22"/>
        </w:rPr>
        <w:t>Compliance First: Every projection carries a regulatory disclaimer; no guaranteed returns are shown.</w:t>
      </w:r>
    </w:p>
    <w:p>
      <w:pPr>
        <w:pStyle w:val="Heading2"/>
        <w:jc w:val="left"/>
      </w:pPr>
      <w:r>
        <w:rPr>
          <w:color w:val="0B61A4"/>
        </w:rPr>
        <w:t>1.1 Document Structure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Section 2 deconstructs the hackathon problem statement into atomic requirements. Section 3 maps each requirement to a specific product or technical solution. Section 4 details the innovations built beyond the baseline. Section 5 covers architecture, security, and deployment. Section 6 outlines the roadmap and impact metrics.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2. Problem Statement Deconstruction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The PSB Hackathon 2026 problem statement for Internet Banking can be summarized as follows: "Reimagine the public sector banking experience by building a secure, intuitive, and intelligent digital platform that empowers customers to manage, grow, and protect their wealth, while ensuring accessibility, compliance, and trust."</w:t>
      </w:r>
    </w:p>
    <w:p>
      <w:pPr>
        <w:pStyle w:val="Heading2"/>
        <w:jc w:val="left"/>
      </w:pPr>
      <w:r>
        <w:rPr>
          <w:color w:val="0B61A4"/>
        </w:rPr>
        <w:t>2.1 Atomic Requirement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fill="0B61A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ID</w:t>
            </w:r>
          </w:p>
        </w:tc>
        <w:tc>
          <w:tcPr>
            <w:tcW w:type="dxa" w:w="3106"/>
            <w:shd w:fill="0B61A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Requirement</w:t>
            </w:r>
          </w:p>
        </w:tc>
        <w:tc>
          <w:tcPr>
            <w:tcW w:type="dxa" w:w="3106"/>
            <w:shd w:fill="0B61A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Pain Point Addressed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R1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Unified Financial View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Customers hold multiple accounts, FDs, loans, insurance policies, and investments across institutions. They need a single pane of glass.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R2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Personalized Insights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Generic dashboards do not guide behaviour. The platform must offer contextual, actionable advice.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R3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Security &amp; Fraud Prevention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Rising UPI fraud, deepfake calls, and phishing demand multi-layered, intelligent protection.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R4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Goal-Based Planning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Users need to visualize retirement, education, home purchase, and emergency corpus goals.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R5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Tax &amp; Regulatory Optimization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Timely tax-saving suggestions, regime comparison, and deadline awareness are expected.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R6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SME &amp; Business Banking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Micro, small, and medium enterprises need cash-flow visibility, working-capital alerts, and surplus-fund advice.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R7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Accessibility &amp; Inclusion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Elderly, rural, and differently-abled users must be able to use the platform confidently.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R8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Macro-Aware Recommendations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Interest rates, inflation, currency, and gold trends should influence advice.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R9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Compliance &amp; Disclaimers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All projections are simulations; no guaranteed returns; SEBI/bank licensing disclaimers must be visible.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R10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Demo-Ready Presentation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The solution must be demonstrable end-to-end with realistic data and clear user journeys.</w:t>
            </w:r>
          </w:p>
        </w:tc>
      </w:tr>
    </w:tbl>
    <w:p/>
    <w:p>
      <w:pPr>
        <w:pStyle w:val="Heading2"/>
        <w:jc w:val="left"/>
      </w:pPr>
      <w:r>
        <w:rPr>
          <w:color w:val="0B61A4"/>
        </w:rPr>
        <w:t>2.2 Stakeholder View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The problem is multi-stakeholder. Retail customers want simplicity and growth. SMEs want liquidity control. Bank management wants lower cost-to-serve and higher trust. Regulators want transparency and data protection. Our solution is designed to satisfy all four without compromising any one dimension.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3. Requirement-to-Solution Mapping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This section maps every atomic requirement to the exact module, component, or API that fulfills it. All solutions are live in the working demo unless explicitly marked as future enhancement.</w:t>
      </w:r>
    </w:p>
    <w:p>
      <w:pPr>
        <w:pStyle w:val="Heading2"/>
        <w:jc w:val="left"/>
      </w:pPr>
      <w:r>
        <w:rPr>
          <w:color w:val="0B61A4"/>
        </w:rPr>
        <w:t>3.1 R1 — Unified Financial View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Problem: Customers struggle to see a consolidated picture across savings accounts, FDs, loans, insurance, mutual funds, gold, real estate, and liabilities.</w:t>
      </w:r>
    </w:p>
    <w:p>
      <w:pPr>
        <w:spacing w:after="120" w:line="360" w:lineRule="auto"/>
        <w:jc w:val="left"/>
      </w:pPr>
      <w:r>
        <w:rPr>
          <w:b/>
          <w:i w:val="0"/>
          <w:sz w:val="22"/>
        </w:rPr>
        <w:t>Solution: Wealth Twin Dashboard</w:t>
      </w:r>
    </w:p>
    <w:p>
      <w:pPr>
        <w:pStyle w:val="ListBullet"/>
        <w:spacing w:after="80" w:line="360" w:lineRule="auto"/>
      </w:pPr>
      <w:r>
        <w:rPr>
          <w:sz w:val="22"/>
        </w:rPr>
        <w:t>Account Aggregator widget links bank accounts, credit cards, and external holdings (mock AA flow).</w:t>
      </w:r>
    </w:p>
    <w:p>
      <w:pPr>
        <w:pStyle w:val="ListBullet"/>
        <w:spacing w:after="80" w:line="360" w:lineRule="auto"/>
      </w:pPr>
      <w:r>
        <w:rPr>
          <w:sz w:val="22"/>
        </w:rPr>
        <w:t>Net-worth summary with real-time asset-liability reconciliation.</w:t>
      </w:r>
    </w:p>
    <w:p>
      <w:pPr>
        <w:pStyle w:val="ListBullet"/>
        <w:spacing w:after="80" w:line="360" w:lineRule="auto"/>
      </w:pPr>
      <w:r>
        <w:rPr>
          <w:sz w:val="22"/>
        </w:rPr>
        <w:t>Holdings breakdown by asset class, liquidity bucket, and risk profile.</w:t>
      </w:r>
    </w:p>
    <w:p>
      <w:pPr>
        <w:pStyle w:val="ListBullet"/>
        <w:spacing w:after="80" w:line="360" w:lineRule="auto"/>
      </w:pPr>
      <w:r>
        <w:rPr>
          <w:sz w:val="22"/>
        </w:rPr>
        <w:t>Transaction history with intelligent categorization and search.</w:t>
      </w:r>
    </w:p>
    <w:p>
      <w:pPr>
        <w:pStyle w:val="ListBullet"/>
        <w:spacing w:after="80" w:line="360" w:lineRule="auto"/>
      </w:pPr>
      <w:r>
        <w:rPr>
          <w:sz w:val="22"/>
        </w:rPr>
        <w:t>Backend SQLite/Postgres adapter stores user data; API layer serves it via REST.</w:t>
      </w:r>
    </w:p>
    <w:p>
      <w:pPr>
        <w:pStyle w:val="Heading2"/>
        <w:jc w:val="left"/>
      </w:pPr>
      <w:r>
        <w:rPr>
          <w:color w:val="0B61A4"/>
        </w:rPr>
        <w:t>3.2 R2 — Personalized Insights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Problem: Customers receive generic product pitches instead of contextual nudges.</w:t>
      </w:r>
    </w:p>
    <w:p>
      <w:pPr>
        <w:spacing w:after="120" w:line="360" w:lineRule="auto"/>
        <w:jc w:val="left"/>
      </w:pPr>
      <w:r>
        <w:rPr>
          <w:b/>
          <w:i w:val="0"/>
          <w:sz w:val="22"/>
        </w:rPr>
        <w:t>Solution: Agentic AI Action Cards + Bhavishya Engine</w:t>
      </w:r>
    </w:p>
    <w:p>
      <w:pPr>
        <w:pStyle w:val="ListBullet"/>
        <w:spacing w:after="80" w:line="360" w:lineRule="auto"/>
      </w:pPr>
      <w:r>
        <w:rPr>
          <w:sz w:val="22"/>
        </w:rPr>
        <w:t>AI Action Cards surface one-tap recommendations: sweep surplus to FD, top-up emergency fund, rebalance equity.</w:t>
      </w:r>
    </w:p>
    <w:p>
      <w:pPr>
        <w:pStyle w:val="ListBullet"/>
        <w:spacing w:after="80" w:line="360" w:lineRule="auto"/>
      </w:pPr>
      <w:r>
        <w:rPr>
          <w:sz w:val="22"/>
        </w:rPr>
        <w:t>Bhavishya Engine projects future net worth under multiple scenarios.</w:t>
      </w:r>
    </w:p>
    <w:p>
      <w:pPr>
        <w:pStyle w:val="ListBullet"/>
        <w:spacing w:after="80" w:line="360" w:lineRule="auto"/>
      </w:pPr>
      <w:r>
        <w:rPr>
          <w:sz w:val="22"/>
        </w:rPr>
        <w:t>Behavioural nudges encourage saving, tax investment, and goal contribution.</w:t>
      </w:r>
    </w:p>
    <w:p>
      <w:pPr>
        <w:pStyle w:val="ListBullet"/>
        <w:spacing w:after="80" w:line="360" w:lineRule="auto"/>
      </w:pPr>
      <w:r>
        <w:rPr>
          <w:sz w:val="22"/>
        </w:rPr>
        <w:t>Risk-profile-driven suggestions prevent unsuitable products.</w:t>
      </w:r>
    </w:p>
    <w:p>
      <w:pPr>
        <w:pStyle w:val="Heading2"/>
        <w:jc w:val="left"/>
      </w:pPr>
      <w:r>
        <w:rPr>
          <w:color w:val="0B61A4"/>
        </w:rPr>
        <w:t>3.3 R3 — Security &amp; Fraud Prevention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Problem: Digital fraud is evolving faster than static OTPs and passwords can handle.</w:t>
      </w:r>
    </w:p>
    <w:p>
      <w:pPr>
        <w:spacing w:after="120" w:line="360" w:lineRule="auto"/>
        <w:jc w:val="left"/>
      </w:pPr>
      <w:r>
        <w:rPr>
          <w:b/>
          <w:i w:val="0"/>
          <w:sz w:val="22"/>
        </w:rPr>
        <w:t>Solution: Security Beast Layer</w:t>
      </w:r>
    </w:p>
    <w:p>
      <w:pPr>
        <w:pStyle w:val="ListBullet"/>
        <w:spacing w:after="80" w:line="360" w:lineRule="auto"/>
      </w:pPr>
      <w:r>
        <w:rPr>
          <w:sz w:val="22"/>
        </w:rPr>
        <w:t>Rakshak AI intervenes when transactions deviate from behavioural baselines.</w:t>
      </w:r>
    </w:p>
    <w:p>
      <w:pPr>
        <w:pStyle w:val="ListBullet"/>
        <w:spacing w:after="80" w:line="360" w:lineRule="auto"/>
      </w:pPr>
      <w:r>
        <w:rPr>
          <w:sz w:val="22"/>
        </w:rPr>
        <w:t>Deepfake Voice Shield verifies caller identity during high-risk actions.</w:t>
      </w:r>
    </w:p>
    <w:p>
      <w:pPr>
        <w:pStyle w:val="ListBullet"/>
        <w:spacing w:after="80" w:line="360" w:lineRule="auto"/>
      </w:pPr>
      <w:r>
        <w:rPr>
          <w:sz w:val="22"/>
        </w:rPr>
        <w:t>Behavioural Biometrics tracks typing rhythm, mouse patterns, and device fingerprint.</w:t>
      </w:r>
    </w:p>
    <w:p>
      <w:pPr>
        <w:pStyle w:val="ListBullet"/>
        <w:spacing w:after="80" w:line="360" w:lineRule="auto"/>
      </w:pPr>
      <w:r>
        <w:rPr>
          <w:sz w:val="22"/>
        </w:rPr>
        <w:t>Decoy Account confuses attackers with a fake low-balance persona.</w:t>
      </w:r>
    </w:p>
    <w:p>
      <w:pPr>
        <w:pStyle w:val="ListBullet"/>
        <w:spacing w:after="80" w:line="360" w:lineRule="auto"/>
      </w:pPr>
      <w:r>
        <w:rPr>
          <w:sz w:val="22"/>
        </w:rPr>
        <w:t>Ghost Mode hides real balances in public or shared-screen situations.</w:t>
      </w:r>
    </w:p>
    <w:p>
      <w:pPr>
        <w:pStyle w:val="ListBullet"/>
        <w:spacing w:after="80" w:line="360" w:lineRule="auto"/>
      </w:pPr>
      <w:r>
        <w:rPr>
          <w:sz w:val="22"/>
        </w:rPr>
        <w:t>Duress/Panic PIN silently alerts authorities while appearing to work normally.</w:t>
      </w:r>
    </w:p>
    <w:p>
      <w:pPr>
        <w:pStyle w:val="Heading2"/>
        <w:jc w:val="left"/>
      </w:pPr>
      <w:r>
        <w:rPr>
          <w:color w:val="0B61A4"/>
        </w:rPr>
        <w:t>3.4 R4 — Goal-Based Planning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Problem: Users lack a visual, interactive way to plan for life goals.</w:t>
      </w:r>
    </w:p>
    <w:p>
      <w:pPr>
        <w:spacing w:after="120" w:line="360" w:lineRule="auto"/>
        <w:jc w:val="left"/>
      </w:pPr>
      <w:r>
        <w:rPr>
          <w:b/>
          <w:i w:val="0"/>
          <w:sz w:val="22"/>
        </w:rPr>
        <w:t>Solution: Goal Tracker + Life-Shock Simulator</w:t>
      </w:r>
    </w:p>
    <w:p>
      <w:pPr>
        <w:pStyle w:val="ListBullet"/>
        <w:spacing w:after="80" w:line="360" w:lineRule="auto"/>
      </w:pPr>
      <w:r>
        <w:rPr>
          <w:sz w:val="22"/>
        </w:rPr>
        <w:t>Goal Tracker lets users define retirement, education, home, travel, and emergency goals.</w:t>
      </w:r>
    </w:p>
    <w:p>
      <w:pPr>
        <w:pStyle w:val="ListBullet"/>
        <w:spacing w:after="80" w:line="360" w:lineRule="auto"/>
      </w:pPr>
      <w:r>
        <w:rPr>
          <w:sz w:val="22"/>
        </w:rPr>
        <w:t>Monte Carlo simulator estimates probability of goal achievement.</w:t>
      </w:r>
    </w:p>
    <w:p>
      <w:pPr>
        <w:pStyle w:val="ListBullet"/>
        <w:spacing w:after="80" w:line="360" w:lineRule="auto"/>
      </w:pPr>
      <w:r>
        <w:rPr>
          <w:sz w:val="22"/>
        </w:rPr>
        <w:t>Life-Shock Simulator models job loss, medical emergency, market crash, and death scenarios.</w:t>
      </w:r>
    </w:p>
    <w:p>
      <w:pPr>
        <w:pStyle w:val="ListBullet"/>
        <w:spacing w:after="80" w:line="360" w:lineRule="auto"/>
      </w:pPr>
      <w:r>
        <w:rPr>
          <w:sz w:val="22"/>
        </w:rPr>
        <w:t>Generational Wealth Slider shows corpus projection across decades.</w:t>
      </w:r>
    </w:p>
    <w:p>
      <w:r>
        <w:br w:type="page"/>
      </w:r>
    </w:p>
    <w:p>
      <w:pPr>
        <w:pStyle w:val="Heading2"/>
        <w:jc w:val="left"/>
      </w:pPr>
      <w:r>
        <w:rPr>
          <w:color w:val="0B61A4"/>
        </w:rPr>
        <w:t>3.5 R5 — Tax &amp; Regulatory Optimization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Problem: Tax planning is reactive and deadline-driven; users miss 80C, 80D, and advance-tax windows.</w:t>
      </w:r>
    </w:p>
    <w:p>
      <w:pPr>
        <w:spacing w:after="120" w:line="360" w:lineRule="auto"/>
        <w:jc w:val="left"/>
      </w:pPr>
      <w:r>
        <w:rPr>
          <w:b/>
          <w:i w:val="0"/>
          <w:sz w:val="22"/>
        </w:rPr>
        <w:t>Solution: Advanced Tax Centre</w:t>
      </w:r>
    </w:p>
    <w:p>
      <w:pPr>
        <w:pStyle w:val="ListBullet"/>
        <w:spacing w:after="80" w:line="360" w:lineRule="auto"/>
      </w:pPr>
      <w:r>
        <w:rPr>
          <w:sz w:val="22"/>
        </w:rPr>
        <w:t>Old vs New Regime calculator with live tax computation backend.</w:t>
      </w:r>
    </w:p>
    <w:p>
      <w:pPr>
        <w:pStyle w:val="ListBullet"/>
        <w:spacing w:after="80" w:line="360" w:lineRule="auto"/>
      </w:pPr>
      <w:r>
        <w:rPr>
          <w:sz w:val="22"/>
        </w:rPr>
        <w:t>Section 80C tracker with risk-profile-based ELSS/PPF/NPS suggestions.</w:t>
      </w:r>
    </w:p>
    <w:p>
      <w:pPr>
        <w:pStyle w:val="ListBullet"/>
        <w:spacing w:after="80" w:line="360" w:lineRule="auto"/>
      </w:pPr>
      <w:r>
        <w:rPr>
          <w:sz w:val="22"/>
        </w:rPr>
        <w:t>Tax deadline calendar with urgency badges and one-tap actions.</w:t>
      </w:r>
    </w:p>
    <w:p>
      <w:pPr>
        <w:pStyle w:val="ListBullet"/>
        <w:spacing w:after="80" w:line="360" w:lineRule="auto"/>
      </w:pPr>
      <w:r>
        <w:rPr>
          <w:sz w:val="22"/>
        </w:rPr>
        <w:t>Tax-loss harvesting alerts for equity holdings.</w:t>
      </w:r>
    </w:p>
    <w:p>
      <w:pPr>
        <w:pStyle w:val="Heading2"/>
        <w:jc w:val="left"/>
      </w:pPr>
      <w:r>
        <w:rPr>
          <w:color w:val="0B61A4"/>
        </w:rPr>
        <w:t>3.6 R6 — SME &amp; Business Banking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Problem: SMEs use personal banking tools for business cash flow because PSB portals lack working-capital intelligence.</w:t>
      </w:r>
    </w:p>
    <w:p>
      <w:pPr>
        <w:spacing w:after="120" w:line="360" w:lineRule="auto"/>
        <w:jc w:val="left"/>
      </w:pPr>
      <w:r>
        <w:rPr>
          <w:b/>
          <w:i w:val="0"/>
          <w:sz w:val="22"/>
        </w:rPr>
        <w:t>Solution: SME Centre</w:t>
      </w:r>
    </w:p>
    <w:p>
      <w:pPr>
        <w:pStyle w:val="ListBullet"/>
        <w:spacing w:after="80" w:line="360" w:lineRule="auto"/>
      </w:pPr>
      <w:r>
        <w:rPr>
          <w:sz w:val="22"/>
        </w:rPr>
        <w:t>Cash Flow Timeline visualizes monthly inflows, outflows, and negative gaps.</w:t>
      </w:r>
    </w:p>
    <w:p>
      <w:pPr>
        <w:pStyle w:val="ListBullet"/>
        <w:spacing w:after="80" w:line="360" w:lineRule="auto"/>
      </w:pPr>
      <w:r>
        <w:rPr>
          <w:sz w:val="22"/>
        </w:rPr>
        <w:t>Surplus Fund Advisor recommends FD sweep, liquid funds, or vendor prepayment.</w:t>
      </w:r>
    </w:p>
    <w:p>
      <w:pPr>
        <w:pStyle w:val="ListBullet"/>
        <w:spacing w:after="80" w:line="360" w:lineRule="auto"/>
      </w:pPr>
      <w:r>
        <w:rPr>
          <w:sz w:val="22"/>
        </w:rPr>
        <w:t>Working Capital Health score tracks current ratio, quick ratio, and days payable/receivable.</w:t>
      </w:r>
    </w:p>
    <w:p>
      <w:pPr>
        <w:pStyle w:val="ListBullet"/>
        <w:spacing w:after="80" w:line="360" w:lineRule="auto"/>
      </w:pPr>
      <w:r>
        <w:rPr>
          <w:sz w:val="22"/>
        </w:rPr>
        <w:t>Export to PDF/Excel for accountant hand-off.</w:t>
      </w:r>
    </w:p>
    <w:p>
      <w:pPr>
        <w:pStyle w:val="Heading2"/>
        <w:jc w:val="left"/>
      </w:pPr>
      <w:r>
        <w:rPr>
          <w:color w:val="0B61A4"/>
        </w:rPr>
        <w:t>3.7 R7 — Accessibility &amp; Inclusion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Problem: Elderly and rural customers find modern banking apps overwhelming.</w:t>
      </w:r>
    </w:p>
    <w:p>
      <w:pPr>
        <w:spacing w:after="120" w:line="360" w:lineRule="auto"/>
        <w:jc w:val="left"/>
      </w:pPr>
      <w:r>
        <w:rPr>
          <w:b/>
          <w:i w:val="0"/>
          <w:sz w:val="22"/>
        </w:rPr>
        <w:t>Solution: Adaptive UI Modes</w:t>
      </w:r>
    </w:p>
    <w:p>
      <w:pPr>
        <w:pStyle w:val="ListBullet"/>
        <w:spacing w:after="80" w:line="360" w:lineRule="auto"/>
      </w:pPr>
      <w:r>
        <w:rPr>
          <w:sz w:val="22"/>
        </w:rPr>
        <w:t>Senior Mode with larger fonts, high contrast, simplified navigation, and voice prompts.</w:t>
      </w:r>
    </w:p>
    <w:p>
      <w:pPr>
        <w:pStyle w:val="ListBullet"/>
        <w:spacing w:after="80" w:line="360" w:lineRule="auto"/>
      </w:pPr>
      <w:r>
        <w:rPr>
          <w:sz w:val="22"/>
        </w:rPr>
        <w:t>Vernacular support framework (Hindi, Punjabi, Tamil, etc.) via i18n store.</w:t>
      </w:r>
    </w:p>
    <w:p>
      <w:pPr>
        <w:pStyle w:val="ListBullet"/>
        <w:spacing w:after="80" w:line="360" w:lineRule="auto"/>
      </w:pPr>
      <w:r>
        <w:rPr>
          <w:sz w:val="22"/>
        </w:rPr>
        <w:t>Face Login for users who forget passwords or cannot type easily.</w:t>
      </w:r>
    </w:p>
    <w:p>
      <w:pPr>
        <w:pStyle w:val="ListBullet"/>
        <w:spacing w:after="80" w:line="360" w:lineRule="auto"/>
      </w:pPr>
      <w:r>
        <w:rPr>
          <w:sz w:val="22"/>
        </w:rPr>
        <w:t>Accessibility settings for screen-reader labels, motion reduction, and dyslexia-friendly fonts.</w:t>
      </w:r>
    </w:p>
    <w:p>
      <w:pPr>
        <w:pStyle w:val="Heading2"/>
        <w:jc w:val="left"/>
      </w:pPr>
      <w:r>
        <w:rPr>
          <w:color w:val="0B61A4"/>
        </w:rPr>
        <w:t>3.8 R8 — Macro-Aware Recommendations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Problem: Advice ignores the macroeconomic context, e.g., rising repo rates or falling rupee.</w:t>
      </w:r>
    </w:p>
    <w:p>
      <w:pPr>
        <w:spacing w:after="120" w:line="360" w:lineRule="auto"/>
        <w:jc w:val="left"/>
      </w:pPr>
      <w:r>
        <w:rPr>
          <w:b/>
          <w:i w:val="0"/>
          <w:sz w:val="22"/>
        </w:rPr>
        <w:t>Solution: Macro Signal Tower</w:t>
      </w:r>
    </w:p>
    <w:p>
      <w:pPr>
        <w:pStyle w:val="ListBullet"/>
        <w:spacing w:after="80" w:line="360" w:lineRule="auto"/>
      </w:pPr>
      <w:r>
        <w:rPr>
          <w:sz w:val="22"/>
        </w:rPr>
        <w:t>Live mock feed of RBI repo rate, CPI inflation, USD/INR, and gold trend.</w:t>
      </w:r>
    </w:p>
    <w:p>
      <w:pPr>
        <w:pStyle w:val="ListBullet"/>
        <w:spacing w:after="80" w:line="360" w:lineRule="auto"/>
      </w:pPr>
      <w:r>
        <w:rPr>
          <w:sz w:val="22"/>
        </w:rPr>
        <w:t>Auto-triggered rules: rising repo → floating-rate FD; inflation &gt;6% → reduce debt duration; falling rupee → trim gold.</w:t>
      </w:r>
    </w:p>
    <w:p>
      <w:pPr>
        <w:pStyle w:val="ListBullet"/>
        <w:spacing w:after="80" w:line="360" w:lineRule="auto"/>
      </w:pPr>
      <w:r>
        <w:rPr>
          <w:sz w:val="22"/>
        </w:rPr>
        <w:t>Integrated into Dashboard and Wealth Twin tabs.</w:t>
      </w:r>
    </w:p>
    <w:p>
      <w:pPr>
        <w:pStyle w:val="Heading2"/>
        <w:jc w:val="left"/>
      </w:pPr>
      <w:r>
        <w:rPr>
          <w:color w:val="0B61A4"/>
        </w:rPr>
        <w:t>3.9 R9 — Compliance &amp; Disclaimers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Problem: Projection screens can be misinterpreted as guaranteed advice.</w:t>
      </w:r>
    </w:p>
    <w:p>
      <w:pPr>
        <w:spacing w:after="120" w:line="360" w:lineRule="auto"/>
        <w:jc w:val="left"/>
      </w:pPr>
      <w:r>
        <w:rPr>
          <w:b/>
          <w:i w:val="0"/>
          <w:sz w:val="22"/>
        </w:rPr>
        <w:t>Solution: Regulatory Disclaimer Component</w:t>
      </w:r>
    </w:p>
    <w:p>
      <w:pPr>
        <w:pStyle w:val="ListBullet"/>
        <w:spacing w:after="80" w:line="360" w:lineRule="auto"/>
      </w:pPr>
      <w:r>
        <w:rPr>
          <w:sz w:val="22"/>
        </w:rPr>
        <w:t>Reusable disclaimer appears on every projection, recommendation, tax, and AI screen.</w:t>
      </w:r>
    </w:p>
    <w:p>
      <w:pPr>
        <w:pStyle w:val="ListBullet"/>
        <w:spacing w:after="80" w:line="360" w:lineRule="auto"/>
      </w:pPr>
      <w:r>
        <w:rPr>
          <w:sz w:val="22"/>
        </w:rPr>
        <w:t>Global footer clarifies: simulation only, not SEBI-registered, no guaranteed returns.</w:t>
      </w:r>
    </w:p>
    <w:p>
      <w:pPr>
        <w:pStyle w:val="ListBullet"/>
        <w:spacing w:after="80" w:line="360" w:lineRule="auto"/>
      </w:pPr>
      <w:r>
        <w:rPr>
          <w:sz w:val="22"/>
        </w:rPr>
        <w:t>All demo data is synthetic; no real customer PII is used.</w:t>
      </w:r>
    </w:p>
    <w:p>
      <w:pPr>
        <w:pStyle w:val="Heading2"/>
        <w:jc w:val="left"/>
      </w:pPr>
      <w:r>
        <w:rPr>
          <w:color w:val="0B61A4"/>
        </w:rPr>
        <w:t>3.10 R10 — Demo-Ready Presentation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Problem: A great backend is invisible unless the demo tells a compelling story.</w:t>
      </w:r>
    </w:p>
    <w:p>
      <w:pPr>
        <w:spacing w:after="120" w:line="360" w:lineRule="auto"/>
        <w:jc w:val="left"/>
      </w:pPr>
      <w:r>
        <w:rPr>
          <w:b/>
          <w:i w:val="0"/>
          <w:sz w:val="22"/>
        </w:rPr>
        <w:t>Solution: Cinematic Demo Journeys</w:t>
      </w:r>
    </w:p>
    <w:p>
      <w:pPr>
        <w:pStyle w:val="ListBullet"/>
        <w:spacing w:after="80" w:line="360" w:lineRule="auto"/>
      </w:pPr>
      <w:r>
        <w:rPr>
          <w:sz w:val="22"/>
        </w:rPr>
        <w:t>Pre-seeded demo profiles: Neha (salaried), Rahul (business), Arjun (retired), Priya (NRI).</w:t>
      </w:r>
    </w:p>
    <w:p>
      <w:pPr>
        <w:pStyle w:val="ListBullet"/>
        <w:spacing w:after="80" w:line="360" w:lineRule="auto"/>
      </w:pPr>
      <w:r>
        <w:rPr>
          <w:sz w:val="22"/>
        </w:rPr>
        <w:t>One-click demo login with AA fetch animation.</w:t>
      </w:r>
    </w:p>
    <w:p>
      <w:pPr>
        <w:pStyle w:val="ListBullet"/>
        <w:spacing w:after="80" w:line="360" w:lineRule="auto"/>
      </w:pPr>
      <w:r>
        <w:rPr>
          <w:sz w:val="22"/>
        </w:rPr>
        <w:t>Pitch deck, demo playbook, cue card, and screenshots auto-generated from the codebase.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4. Innovation Catalogue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Beyond the baseline requirements, PSB SecureWealth Twin introduces several first-of-its-kind features for a public sector banking context. These are the differentiators that elevate the solution from a dashboard to a financial operating system.</w:t>
      </w:r>
    </w:p>
    <w:p>
      <w:pPr>
        <w:pStyle w:val="Heading2"/>
        <w:jc w:val="left"/>
      </w:pPr>
      <w:r>
        <w:rPr>
          <w:color w:val="0B61A4"/>
        </w:rPr>
        <w:t>4.1 Wealth Twin — Digital Financial Mirror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The Wealth Twin is not a static report. It is a living model of the customer's financial universe. It aggregates accounts, assets, liabilities, goals, and cash flows; then runs simulations to answer "what-if" questions in real time. It is the central metaphor of the product: just as a doctor uses a scan to diagnose health, the Wealth Twin diagnoses financial health.</w:t>
      </w:r>
    </w:p>
    <w:p>
      <w:pPr>
        <w:pStyle w:val="ListBullet"/>
        <w:spacing w:after="80" w:line="360" w:lineRule="auto"/>
      </w:pPr>
      <w:r>
        <w:rPr>
          <w:sz w:val="22"/>
        </w:rPr>
        <w:t>Real-time net-worth tracking across asset classes.</w:t>
      </w:r>
    </w:p>
    <w:p>
      <w:pPr>
        <w:pStyle w:val="ListBullet"/>
        <w:spacing w:after="80" w:line="360" w:lineRule="auto"/>
      </w:pPr>
      <w:r>
        <w:rPr>
          <w:sz w:val="22"/>
        </w:rPr>
        <w:t>Scenario modelling: job loss, medical emergency, market correction, inheritance.</w:t>
      </w:r>
    </w:p>
    <w:p>
      <w:pPr>
        <w:pStyle w:val="ListBullet"/>
        <w:spacing w:after="80" w:line="360" w:lineRule="auto"/>
      </w:pPr>
      <w:r>
        <w:rPr>
          <w:sz w:val="22"/>
        </w:rPr>
        <w:t>Goal achievement probability via Monte Carlo simulation.</w:t>
      </w:r>
    </w:p>
    <w:p>
      <w:pPr>
        <w:pStyle w:val="Heading2"/>
        <w:jc w:val="left"/>
      </w:pPr>
      <w:r>
        <w:rPr>
          <w:color w:val="0B61A4"/>
        </w:rPr>
        <w:t>4.2 Rakshak AI — Autonomous Fraud Intervention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Rakshak AI is an autonomous agent that monitors transactions, device behaviour, and voice biometric signals. When it detects anomalies — an unusual merchant, a new device at 3 AM, a deepfake voice pattern — it intervenes before money leaves the account.</w:t>
      </w:r>
    </w:p>
    <w:p>
      <w:pPr>
        <w:pStyle w:val="ListBullet"/>
        <w:spacing w:after="80" w:line="360" w:lineRule="auto"/>
      </w:pPr>
      <w:r>
        <w:rPr>
          <w:sz w:val="22"/>
        </w:rPr>
        <w:t>Behavioural baseline per user.</w:t>
      </w:r>
    </w:p>
    <w:p>
      <w:pPr>
        <w:pStyle w:val="ListBullet"/>
        <w:spacing w:after="80" w:line="360" w:lineRule="auto"/>
      </w:pPr>
      <w:r>
        <w:rPr>
          <w:sz w:val="22"/>
        </w:rPr>
        <w:t>Real-time risk score with explainable AI reasoning.</w:t>
      </w:r>
    </w:p>
    <w:p>
      <w:pPr>
        <w:pStyle w:val="ListBullet"/>
        <w:spacing w:after="80" w:line="360" w:lineRule="auto"/>
      </w:pPr>
      <w:r>
        <w:rPr>
          <w:sz w:val="22"/>
        </w:rPr>
        <w:t>Interventions: soft block, biometric re-auth, call verification, freeze.</w:t>
      </w:r>
    </w:p>
    <w:p>
      <w:pPr>
        <w:pStyle w:val="Heading2"/>
        <w:jc w:val="left"/>
      </w:pPr>
      <w:r>
        <w:rPr>
          <w:color w:val="0B61A4"/>
        </w:rPr>
        <w:t>4.3 Deepfake Voice Shield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Voice cloning fraud is rising in India. The Deepfake Voice Shield adds a voice-print challenge to high-risk actions. The user speaks a prompt; the system compares the voice print, liveness, and phrase match before authorizing the transaction.</w:t>
      </w:r>
    </w:p>
    <w:p>
      <w:pPr>
        <w:pStyle w:val="ListBullet"/>
        <w:spacing w:after="80" w:line="360" w:lineRule="auto"/>
      </w:pPr>
      <w:r>
        <w:rPr>
          <w:sz w:val="22"/>
        </w:rPr>
        <w:t>On-device liveness detection to prevent replay attacks.</w:t>
      </w:r>
    </w:p>
    <w:p>
      <w:pPr>
        <w:pStyle w:val="ListBullet"/>
        <w:spacing w:after="80" w:line="360" w:lineRule="auto"/>
      </w:pPr>
      <w:r>
        <w:rPr>
          <w:sz w:val="22"/>
        </w:rPr>
        <w:t>Phrases rotate per session.</w:t>
      </w:r>
    </w:p>
    <w:p>
      <w:pPr>
        <w:pStyle w:val="ListBullet"/>
        <w:spacing w:after="80" w:line="360" w:lineRule="auto"/>
      </w:pPr>
      <w:r>
        <w:rPr>
          <w:sz w:val="22"/>
        </w:rPr>
        <w:t>Fallback to passkey or face login if voice fails.</w:t>
      </w:r>
    </w:p>
    <w:p>
      <w:pPr>
        <w:pStyle w:val="Heading2"/>
        <w:jc w:val="left"/>
      </w:pPr>
      <w:r>
        <w:rPr>
          <w:color w:val="0B61A4"/>
        </w:rPr>
        <w:t>4.4 Smart Sweep — Account Aggregator Arbitrage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Smart Sweep uses the Account Aggregator framework to find idle balances across linked accounts and sweep them into higher-yield instruments automatically. It solves the "money sleeping in savings account" problem.</w:t>
      </w:r>
    </w:p>
    <w:p>
      <w:pPr>
        <w:pStyle w:val="ListBullet"/>
        <w:spacing w:after="80" w:line="360" w:lineRule="auto"/>
      </w:pPr>
      <w:r>
        <w:rPr>
          <w:sz w:val="22"/>
        </w:rPr>
        <w:t>Detects idle surplus across linked banks.</w:t>
      </w:r>
    </w:p>
    <w:p>
      <w:pPr>
        <w:pStyle w:val="ListBullet"/>
        <w:spacing w:after="80" w:line="360" w:lineRule="auto"/>
      </w:pPr>
      <w:r>
        <w:rPr>
          <w:sz w:val="22"/>
        </w:rPr>
        <w:t>Recommends FD ladder, liquid fund, or overnight fund.</w:t>
      </w:r>
    </w:p>
    <w:p>
      <w:pPr>
        <w:pStyle w:val="ListBullet"/>
        <w:spacing w:after="80" w:line="360" w:lineRule="auto"/>
      </w:pPr>
      <w:r>
        <w:rPr>
          <w:sz w:val="22"/>
        </w:rPr>
        <w:t>One-tap consent and execution.</w:t>
      </w:r>
    </w:p>
    <w:p>
      <w:pPr>
        <w:pStyle w:val="Heading2"/>
        <w:jc w:val="left"/>
      </w:pPr>
      <w:r>
        <w:rPr>
          <w:color w:val="0B61A4"/>
        </w:rPr>
        <w:t>4.5 Life-Shock Simulator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Users rarely plan for shocks. The Life-Shock Simulator lets them stress-test their finances against job loss, critical illness, disability, market crash, and death. It visualizes the impact on goals and net worth, then suggests insurance or contingency actions.</w:t>
      </w:r>
    </w:p>
    <w:p>
      <w:pPr>
        <w:pStyle w:val="Heading2"/>
        <w:jc w:val="left"/>
      </w:pPr>
      <w:r>
        <w:rPr>
          <w:color w:val="0B61A4"/>
        </w:rPr>
        <w:t>4.6 Macro Signal Tower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The Macro Signal Tower translates RBI policy, inflation, currency, and commodity trends into plain-English portfolio actions. For example: "Repo rate rising — shift 20% of debt to floating-rate FD."</w:t>
      </w:r>
    </w:p>
    <w:p>
      <w:pPr>
        <w:pStyle w:val="Heading2"/>
        <w:jc w:val="left"/>
      </w:pPr>
      <w:r>
        <w:rPr>
          <w:color w:val="0B61A4"/>
        </w:rPr>
        <w:t>4.7 Decoy Account &amp; Ghost Mode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These features protect users under coercion or shoulder surfing. Decoy Account shows a fake, low-balance persona when a duress PIN is entered. Ghost Mode masks real balances in public places.</w:t>
      </w:r>
    </w:p>
    <w:p>
      <w:pPr>
        <w:pStyle w:val="Heading2"/>
        <w:jc w:val="left"/>
      </w:pPr>
      <w:r>
        <w:rPr>
          <w:color w:val="0B61A4"/>
        </w:rPr>
        <w:t>4.8 NRI Mode &amp; Sovereign Vault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NRI customers get a dedicated mode with FEMA-aware remittance tracking, NRE/NRO bifurcation, and tax residency insights. Sovereign Vault is a high-security sub-account for large, long-term holdings.</w:t>
      </w:r>
    </w:p>
    <w:p>
      <w:pPr>
        <w:pStyle w:val="Heading2"/>
        <w:jc w:val="left"/>
      </w:pPr>
      <w:r>
        <w:rPr>
          <w:color w:val="0B61A4"/>
        </w:rPr>
        <w:t>4.9 CreditBridge AI — MSME Lending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CreditBridge AI connects micro-entrepreneurs to formal credit by analysing surrogate data: cash-flow velocity, GST turnover, UPI receipts, and invoice patterns. It generates a credit health score and suggests the right PSB loan product.</w:t>
      </w:r>
    </w:p>
    <w:p>
      <w:pPr>
        <w:pStyle w:val="Heading2"/>
        <w:jc w:val="left"/>
      </w:pPr>
      <w:r>
        <w:rPr>
          <w:color w:val="0B61A4"/>
        </w:rPr>
        <w:t>4.10 Fantasy League of Wealth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A gamified layer where family members or friends can create virtual portfolios and compete on risk-adjusted returns. This drives financial literacy through friendly competition without risking real money.</w:t>
      </w:r>
    </w:p>
    <w:p>
      <w:r>
        <w:br w:type="page"/>
      </w:r>
    </w:p>
    <w:p>
      <w:pPr>
        <w:pStyle w:val="Heading2"/>
        <w:jc w:val="left"/>
      </w:pPr>
      <w:r>
        <w:rPr>
          <w:color w:val="0B61A4"/>
        </w:rPr>
        <w:t>4.11 Neuro-Friction Widget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Inspired by behavioural economics, this widget introduces intentional friction for impulsive transactions (large transfers, new merchant payments) while reducing friction for healthy habits (SIP top-ups, goal contributions).</w:t>
      </w:r>
    </w:p>
    <w:p>
      <w:pPr>
        <w:pStyle w:val="Heading2"/>
        <w:jc w:val="left"/>
      </w:pPr>
      <w:r>
        <w:rPr>
          <w:color w:val="0B61A4"/>
        </w:rPr>
        <w:t>4.12 Autonomous Agent Mode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A future-facing module where users can delegate routine tasks — bill payments, rebalancing, tax harvesting — to an AI agent operating within guardrails. Every action is logged, reversible, and capped by user-defined limits.</w:t>
      </w:r>
    </w:p>
    <w:p>
      <w:pPr>
        <w:pStyle w:val="Heading2"/>
        <w:jc w:val="left"/>
      </w:pPr>
      <w:r>
        <w:rPr>
          <w:color w:val="0B61A4"/>
        </w:rPr>
        <w:t>4.13 Social Collateral Loan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Enables community-backed micro-lending within trusted groups. Repayment behaviour is recorded on a private ledger and can improve the borrower's formal credit score over time.</w:t>
      </w:r>
    </w:p>
    <w:p>
      <w:pPr>
        <w:pStyle w:val="Heading2"/>
        <w:jc w:val="left"/>
      </w:pPr>
      <w:r>
        <w:rPr>
          <w:color w:val="0B61A4"/>
        </w:rPr>
        <w:t>4.14 Collective Immune System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Anonymized fraud patterns from the entire user base feed a collective model. If a new phishing domain targets one customer, all customers receive a pre-emptive warning.</w:t>
      </w:r>
    </w:p>
    <w:p>
      <w:pPr>
        <w:pStyle w:val="Heading2"/>
        <w:jc w:val="left"/>
      </w:pPr>
      <w:r>
        <w:rPr>
          <w:color w:val="0B61A4"/>
        </w:rPr>
        <w:t>4.15 Parametric Insurance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Weather-indexed crop insurance and travel-disruption insurance triggered automatically by verified external data feeds, reducing claim processing time from weeks to minutes.</w:t>
      </w:r>
    </w:p>
    <w:p>
      <w:pPr>
        <w:pStyle w:val="Heading2"/>
        <w:jc w:val="left"/>
      </w:pPr>
      <w:r>
        <w:rPr>
          <w:color w:val="0B61A4"/>
        </w:rPr>
        <w:t>4.16 Cooling Vault / Dead Man's Switch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Cooling Vault delays large withdrawals by a user-defined cooling-off period, preventing panic-driven or coerced losses. Dead Man's Switch transfers assets to nominees if the user fails to check in for a configured period.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5. Architecture, Security &amp; Deployment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The solution is a modern full-stack application designed for hackathon demos and production scalability alike.</w:t>
      </w:r>
    </w:p>
    <w:p>
      <w:pPr>
        <w:pStyle w:val="Heading2"/>
        <w:jc w:val="left"/>
      </w:pPr>
      <w:r>
        <w:rPr>
          <w:color w:val="0B61A4"/>
        </w:rPr>
        <w:t>5.1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fill="0B61A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type="dxa" w:w="3106"/>
            <w:shd w:fill="0B61A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Technology</w:t>
            </w:r>
          </w:p>
        </w:tc>
        <w:tc>
          <w:tcPr>
            <w:tcW w:type="dxa" w:w="3106"/>
            <w:shd w:fill="0B61A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Frontend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React 19 + TypeScript + Vite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Responsive, high-performance SPA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Styling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Tailwind CSS v4 + Framer Motion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Design system and animations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State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Zustand + React Context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Global and auth state management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Backend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Node.js + Express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REST API and business logic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Database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SQLite (demo) / PostgreSQL (prod)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User data, transactions, goals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Auth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Supabase Auth + JWT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Secure session management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AI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OpenAI / Anthropic / Gemini SDKs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Recommendations and natural language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BI/Charts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Recharts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Visualizations and projections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Deployment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Render (Docker + Static)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Backend service and static frontend</w:t>
            </w:r>
          </w:p>
        </w:tc>
      </w:tr>
      <w:tr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Testing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Vitest + Playwright + Jest</w:t>
            </w:r>
          </w:p>
        </w:tc>
        <w:tc>
          <w:tcPr>
            <w:tcW w:type="dxa" w:w="3106"/>
          </w:tcPr>
          <w:p>
            <w:pPr>
              <w:spacing w:line="360" w:lineRule="auto"/>
            </w:pPr>
            <w:r>
              <w:rPr>
                <w:sz w:val="20"/>
              </w:rPr>
              <w:t>Unit, component, and E2E tests</w:t>
            </w:r>
          </w:p>
        </w:tc>
      </w:tr>
    </w:tbl>
    <w:p/>
    <w:p>
      <w:pPr>
        <w:pStyle w:val="Heading2"/>
        <w:jc w:val="left"/>
      </w:pPr>
      <w:r>
        <w:rPr>
          <w:color w:val="0B61A4"/>
        </w:rPr>
        <w:t>5.2 Security Architecture</w:t>
      </w:r>
    </w:p>
    <w:p>
      <w:pPr>
        <w:pStyle w:val="ListBullet"/>
        <w:spacing w:after="80" w:line="360" w:lineRule="auto"/>
      </w:pPr>
      <w:r>
        <w:rPr>
          <w:sz w:val="22"/>
        </w:rPr>
        <w:t>JWT-based authentication with short-lived access tokens.</w:t>
      </w:r>
    </w:p>
    <w:p>
      <w:pPr>
        <w:pStyle w:val="ListBullet"/>
        <w:spacing w:after="80" w:line="360" w:lineRule="auto"/>
      </w:pPr>
      <w:r>
        <w:rPr>
          <w:sz w:val="22"/>
        </w:rPr>
        <w:t>Rate limiting and Helmet headers on all API routes.</w:t>
      </w:r>
    </w:p>
    <w:p>
      <w:pPr>
        <w:pStyle w:val="ListBullet"/>
        <w:spacing w:after="80" w:line="360" w:lineRule="auto"/>
      </w:pPr>
      <w:r>
        <w:rPr>
          <w:sz w:val="22"/>
        </w:rPr>
        <w:t>Passwords hashed with bcryptjs.</w:t>
      </w:r>
    </w:p>
    <w:p>
      <w:pPr>
        <w:pStyle w:val="ListBullet"/>
        <w:spacing w:after="80" w:line="360" w:lineRule="auto"/>
      </w:pPr>
      <w:r>
        <w:rPr>
          <w:sz w:val="22"/>
        </w:rPr>
        <w:t>Sensitive env vars (JWT_SECRET, API keys) managed via Render dashboard.</w:t>
      </w:r>
    </w:p>
    <w:p>
      <w:pPr>
        <w:pStyle w:val="ListBullet"/>
        <w:spacing w:after="80" w:line="360" w:lineRule="auto"/>
      </w:pPr>
      <w:r>
        <w:rPr>
          <w:sz w:val="22"/>
        </w:rPr>
        <w:t>Device fingerprinting and behavioural biometrics for anomaly detection.</w:t>
      </w:r>
    </w:p>
    <w:p>
      <w:pPr>
        <w:pStyle w:val="ListBullet"/>
        <w:spacing w:after="80" w:line="360" w:lineRule="auto"/>
      </w:pPr>
      <w:r>
        <w:rPr>
          <w:sz w:val="22"/>
        </w:rPr>
        <w:t>ML-KEM post-quantum key encapsulation for future-proofing.</w:t>
      </w:r>
    </w:p>
    <w:p>
      <w:pPr>
        <w:pStyle w:val="Heading2"/>
        <w:jc w:val="left"/>
      </w:pPr>
      <w:r>
        <w:rPr>
          <w:color w:val="0B61A4"/>
        </w:rPr>
        <w:t>5.3 Deployment Model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The application is deployed on Render using a Blueprint defined in render.yaml. The backend runs as a Docker service (psb-securewealth-backend) and the frontend as a static site (psb-securewealth-frontend). Continuous deployment is enabled: every push to GitHub main triggers a new Render build.</w:t>
      </w:r>
    </w:p>
    <w:p>
      <w:pPr>
        <w:pStyle w:val="ListBullet"/>
        <w:spacing w:after="80" w:line="360" w:lineRule="auto"/>
      </w:pPr>
      <w:r>
        <w:rPr>
          <w:sz w:val="22"/>
        </w:rPr>
        <w:t>Backend URL: https://psb-securewealth-backend.onrender.com/api/v1</w:t>
      </w:r>
    </w:p>
    <w:p>
      <w:pPr>
        <w:pStyle w:val="ListBullet"/>
        <w:spacing w:after="80" w:line="360" w:lineRule="auto"/>
      </w:pPr>
      <w:r>
        <w:rPr>
          <w:sz w:val="22"/>
        </w:rPr>
        <w:t>Frontend URL: https://psb-securewealth-frontend.onrender.com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6. Roadmap, Metrics &amp; Impact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The platform is demo-ready today. The following roadmap takes it from hackathon prototype to production pilot.</w:t>
      </w:r>
    </w:p>
    <w:p>
      <w:pPr>
        <w:pStyle w:val="Heading2"/>
        <w:jc w:val="left"/>
      </w:pPr>
      <w:r>
        <w:rPr>
          <w:color w:val="0B61A4"/>
        </w:rPr>
        <w:t>6.1 Phased Roadmap</w:t>
      </w:r>
    </w:p>
    <w:p>
      <w:pPr>
        <w:pStyle w:val="ListNumber"/>
        <w:spacing w:after="80" w:line="360" w:lineRule="auto"/>
      </w:pPr>
      <w:r>
        <w:rPr>
          <w:sz w:val="22"/>
        </w:rPr>
        <w:t>Phase 0 — Demo Hardening: Fix UI/UX gaps, ensure disclaimers on all screens, and optimize demo login flow.</w:t>
      </w:r>
    </w:p>
    <w:p>
      <w:pPr>
        <w:pStyle w:val="ListNumber"/>
        <w:spacing w:after="80" w:line="360" w:lineRule="auto"/>
      </w:pPr>
      <w:r>
        <w:rPr>
          <w:sz w:val="22"/>
        </w:rPr>
        <w:t>Phase 1 — Pilot with PSB Branch: Onboard 1,000 retail customers and 100 SMEs in a single branch.</w:t>
      </w:r>
    </w:p>
    <w:p>
      <w:pPr>
        <w:pStyle w:val="ListNumber"/>
        <w:spacing w:after="80" w:line="360" w:lineRule="auto"/>
      </w:pPr>
      <w:r>
        <w:rPr>
          <w:sz w:val="22"/>
        </w:rPr>
        <w:t>Phase 2 — Account Aggregator Integration: Connect with live AA ecosystem partners (PhonePe, Finvu, etc.).</w:t>
      </w:r>
    </w:p>
    <w:p>
      <w:pPr>
        <w:pStyle w:val="ListNumber"/>
        <w:spacing w:after="80" w:line="360" w:lineRule="auto"/>
      </w:pPr>
      <w:r>
        <w:rPr>
          <w:sz w:val="22"/>
        </w:rPr>
        <w:t>Phase 3 — AI Model Fine-Tuning: Train recommendation models on anonymized PSB transaction data.</w:t>
      </w:r>
    </w:p>
    <w:p>
      <w:pPr>
        <w:pStyle w:val="ListNumber"/>
        <w:spacing w:after="80" w:line="360" w:lineRule="auto"/>
      </w:pPr>
      <w:r>
        <w:rPr>
          <w:sz w:val="22"/>
        </w:rPr>
        <w:t>Phase 4 — Full Rollout: Scale to all PSB internet banking users with regional language support.</w:t>
      </w:r>
    </w:p>
    <w:p>
      <w:pPr>
        <w:pStyle w:val="Heading2"/>
        <w:jc w:val="left"/>
      </w:pPr>
      <w:r>
        <w:rPr>
          <w:color w:val="0B61A4"/>
        </w:rPr>
        <w:t>6.2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  <w:shd w:fill="0B61A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658"/>
            <w:shd w:fill="0B61A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Target</w:t>
            </w:r>
          </w:p>
        </w:tc>
      </w:tr>
      <w:tr>
        <w:tc>
          <w:tcPr>
            <w:tcW w:type="dxa" w:w="4658"/>
          </w:tcPr>
          <w:p>
            <w:pPr>
              <w:spacing w:line="360" w:lineRule="auto"/>
            </w:pPr>
            <w:r>
              <w:rPr>
                <w:sz w:val="20"/>
              </w:rPr>
              <w:t>Customer engagement</w:t>
            </w:r>
          </w:p>
        </w:tc>
        <w:tc>
          <w:tcPr>
            <w:tcW w:type="dxa" w:w="4658"/>
          </w:tcPr>
          <w:p>
            <w:pPr>
              <w:spacing w:line="360" w:lineRule="auto"/>
            </w:pPr>
            <w:r>
              <w:rPr>
                <w:sz w:val="20"/>
              </w:rPr>
              <w:t>3x increase in monthly active internet banking users</w:t>
            </w:r>
          </w:p>
        </w:tc>
      </w:tr>
      <w:tr>
        <w:tc>
          <w:tcPr>
            <w:tcW w:type="dxa" w:w="4658"/>
          </w:tcPr>
          <w:p>
            <w:pPr>
              <w:spacing w:line="360" w:lineRule="auto"/>
            </w:pPr>
            <w:r>
              <w:rPr>
                <w:sz w:val="20"/>
              </w:rPr>
              <w:t>Savings mobilization</w:t>
            </w:r>
          </w:p>
        </w:tc>
        <w:tc>
          <w:tcPr>
            <w:tcW w:type="dxa" w:w="4658"/>
          </w:tcPr>
          <w:p>
            <w:pPr>
              <w:spacing w:line="360" w:lineRule="auto"/>
            </w:pPr>
            <w:r>
              <w:rPr>
                <w:sz w:val="20"/>
              </w:rPr>
              <w:t>15% increase in FD/recurring deposit bookings</w:t>
            </w:r>
          </w:p>
        </w:tc>
      </w:tr>
      <w:tr>
        <w:tc>
          <w:tcPr>
            <w:tcW w:type="dxa" w:w="4658"/>
          </w:tcPr>
          <w:p>
            <w:pPr>
              <w:spacing w:line="360" w:lineRule="auto"/>
            </w:pPr>
            <w:r>
              <w:rPr>
                <w:sz w:val="20"/>
              </w:rPr>
              <w:t>Fraud reduction</w:t>
            </w:r>
          </w:p>
        </w:tc>
        <w:tc>
          <w:tcPr>
            <w:tcW w:type="dxa" w:w="4658"/>
          </w:tcPr>
          <w:p>
            <w:pPr>
              <w:spacing w:line="360" w:lineRule="auto"/>
            </w:pPr>
            <w:r>
              <w:rPr>
                <w:sz w:val="20"/>
              </w:rPr>
              <w:t>40% reduction in reported digital fraud incidents</w:t>
            </w:r>
          </w:p>
        </w:tc>
      </w:tr>
      <w:tr>
        <w:tc>
          <w:tcPr>
            <w:tcW w:type="dxa" w:w="4658"/>
          </w:tcPr>
          <w:p>
            <w:pPr>
              <w:spacing w:line="360" w:lineRule="auto"/>
            </w:pPr>
            <w:r>
              <w:rPr>
                <w:sz w:val="20"/>
              </w:rPr>
              <w:t>SME adoption</w:t>
            </w:r>
          </w:p>
        </w:tc>
        <w:tc>
          <w:tcPr>
            <w:tcW w:type="dxa" w:w="4658"/>
          </w:tcPr>
          <w:p>
            <w:pPr>
              <w:spacing w:line="360" w:lineRule="auto"/>
            </w:pPr>
            <w:r>
              <w:rPr>
                <w:sz w:val="20"/>
              </w:rPr>
              <w:t>500+ businesses using SME Centre in pilot quarter</w:t>
            </w:r>
          </w:p>
        </w:tc>
      </w:tr>
      <w:tr>
        <w:tc>
          <w:tcPr>
            <w:tcW w:type="dxa" w:w="4658"/>
          </w:tcPr>
          <w:p>
            <w:pPr>
              <w:spacing w:line="360" w:lineRule="auto"/>
            </w:pPr>
            <w:r>
              <w:rPr>
                <w:sz w:val="20"/>
              </w:rPr>
              <w:t>NPS improvement</w:t>
            </w:r>
          </w:p>
        </w:tc>
        <w:tc>
          <w:tcPr>
            <w:tcW w:type="dxa" w:w="4658"/>
          </w:tcPr>
          <w:p>
            <w:pPr>
              <w:spacing w:line="360" w:lineRule="auto"/>
            </w:pPr>
            <w:r>
              <w:rPr>
                <w:sz w:val="20"/>
              </w:rPr>
              <w:t>+20 point uplift in digital banking NPS</w:t>
            </w:r>
          </w:p>
        </w:tc>
      </w:tr>
      <w:tr>
        <w:tc>
          <w:tcPr>
            <w:tcW w:type="dxa" w:w="4658"/>
          </w:tcPr>
          <w:p>
            <w:pPr>
              <w:spacing w:line="360" w:lineRule="auto"/>
            </w:pPr>
            <w:r>
              <w:rPr>
                <w:sz w:val="20"/>
              </w:rPr>
              <w:t>Support cost</w:t>
            </w:r>
          </w:p>
        </w:tc>
        <w:tc>
          <w:tcPr>
            <w:tcW w:type="dxa" w:w="4658"/>
          </w:tcPr>
          <w:p>
            <w:pPr>
              <w:spacing w:line="360" w:lineRule="auto"/>
            </w:pPr>
            <w:r>
              <w:rPr>
                <w:sz w:val="20"/>
              </w:rPr>
              <w:t>25% reduction in branch support tickets for balance/fund queries</w:t>
            </w:r>
          </w:p>
        </w:tc>
      </w:tr>
    </w:tbl>
    <w:p/>
    <w:p>
      <w:pPr>
        <w:pStyle w:val="Heading2"/>
        <w:jc w:val="left"/>
      </w:pPr>
      <w:r>
        <w:rPr>
          <w:color w:val="0B61A4"/>
        </w:rPr>
        <w:t>6.3 Social Impact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By making wealth management accessible to non-English, non-tech-savvy users, PSB SecureWealth Twin advances financial inclusion. By protecting vulnerable users from fraud, it builds trust in public sector banking. By serving SMEs with working-capital intelligence, it supports the real economy at the grassroots level.</w:t>
      </w:r>
    </w:p>
    <w:p>
      <w:pPr>
        <w:pStyle w:val="Heading2"/>
        <w:jc w:val="left"/>
      </w:pPr>
      <w:r>
        <w:rPr>
          <w:color w:val="0B61A4"/>
        </w:rPr>
        <w:t>6.4 Conclusion</w:t>
      </w:r>
    </w:p>
    <w:p>
      <w:pPr>
        <w:spacing w:after="120" w:line="360" w:lineRule="auto"/>
        <w:jc w:val="left"/>
      </w:pPr>
      <w:r>
        <w:rPr>
          <w:b w:val="0"/>
          <w:i w:val="0"/>
          <w:sz w:val="22"/>
        </w:rPr>
        <w:t>PSB SecureWealth Twin is more than an internet banking upgrade. It is a reimagining of the relationship between a public sector bank and its customers — from transactional to transformational. Every requirement of the hackathon problem statement has a mapped solution, and every solution is enriched by innovations that are practical, demonstrable, and scalable. We are ready to deploy, demonstrate, and win.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