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B2B52"/>
          <w:sz w:val="44"/>
        </w:rPr>
        <w:t>SecureWealth Twin — PPT Source Document</w:t>
      </w:r>
    </w:p>
    <w:p>
      <w:pPr>
        <w:jc w:val="center"/>
      </w:pPr>
      <w:r>
        <w:rPr>
          <w:b w:val="0"/>
          <w:i/>
          <w:color w:val="555555"/>
          <w:sz w:val="24"/>
        </w:rPr>
        <w:t>Prepared for PSB Hackathon Series 2026</w:t>
      </w:r>
    </w:p>
    <w:p>
      <w:pPr>
        <w:jc w:val="center"/>
      </w:pPr>
      <w:r>
        <w:rPr>
          <w:b w:val="0"/>
          <w:i w:val="0"/>
          <w:color w:val="1E5A9C"/>
          <w:sz w:val="22"/>
        </w:rPr>
        <w:t>Audience: Technical Judges / Hackathon Evaluators</w:t>
      </w:r>
    </w:p>
    <w:p/>
    <w:p>
      <w:pPr>
        <w:pStyle w:val="Heading1"/>
      </w:pPr>
      <w:r>
        <w:rPr>
          <w:b/>
          <w:color w:val="0B2B52"/>
          <w:sz w:val="40"/>
        </w:rPr>
        <w:t>1. Problem Statement</w:t>
      </w:r>
    </w:p>
    <w:p>
      <w:r>
        <w:rPr>
          <w:b w:val="0"/>
          <w:i w:val="0"/>
          <w:sz w:val="21"/>
        </w:rPr>
        <w:t>The bank has a dual responsibility: help customers grow wealth intelligently, and protect that wealth from fraud, misuse, and risky actions.</w:t>
      </w:r>
    </w:p>
    <w:p>
      <w:pPr>
        <w:pStyle w:val="ListBullet"/>
        <w:ind w:left="360"/>
      </w:pPr>
      <w:r>
        <w:t>Customers increasingly use digital channels for savings, investments, and financial planning.</w:t>
      </w:r>
    </w:p>
    <w:p>
      <w:pPr>
        <w:pStyle w:val="ListBullet"/>
        <w:ind w:left="360"/>
      </w:pPr>
      <w:r>
        <w:t>AI-powered wealth advisory can guide better outcomes, but digital convenience exposes users to social-engineering fraud, coerced transactions, OTP misuse, and impulsive high-value actions.</w:t>
      </w:r>
    </w:p>
    <w:p>
      <w:pPr>
        <w:pStyle w:val="ListBullet"/>
        <w:ind w:left="360"/>
      </w:pPr>
      <w:r>
        <w:t>The problem statement asks for a unified system: an AI-powered digital wealth intelligence system that acts as a virtual financial twin, embedding a mandatory, lightweight cyber-security and fraud protection layer around every critical wealth action.</w:t>
      </w:r>
    </w:p>
    <w:p/>
    <w:p>
      <w:pPr>
        <w:pStyle w:val="Heading1"/>
      </w:pPr>
      <w:r>
        <w:rPr>
          <w:b/>
          <w:color w:val="0B2B52"/>
          <w:sz w:val="40"/>
        </w:rPr>
        <w:t>2. Solution Overview</w:t>
      </w:r>
    </w:p>
    <w:p>
      <w:r>
        <w:rPr>
          <w:b w:val="0"/>
          <w:i w:val="0"/>
          <w:sz w:val="21"/>
        </w:rPr>
        <w:t>SecureWealth Twin is a full-stack web application that combines:</w:t>
      </w:r>
    </w:p>
    <w:p>
      <w:pPr>
        <w:pStyle w:val="ListBullet"/>
        <w:ind w:left="360"/>
      </w:pPr>
      <w:r>
        <w:t>Digital Wealth Intelligence — learns from spending/saving/investment habits, understands income/goal/risk changes, studies market trends, and gives personalized, explainable recommendations.</w:t>
      </w:r>
    </w:p>
    <w:p>
      <w:pPr>
        <w:pStyle w:val="ListBullet"/>
        <w:ind w:left="360"/>
      </w:pPr>
      <w:r>
        <w:t>Mandatory Wealth Protection Layer — evaluates risk signals (device trust, OTP patterns, amount vs. history, speed/retries) and generates a Wealth Protection Risk Score that leads to Allow / Warn / Block decisions.</w:t>
      </w:r>
    </w:p>
    <w:p>
      <w:pPr>
        <w:pStyle w:val="ListBullet"/>
        <w:ind w:left="360"/>
      </w:pPr>
      <w:r>
        <w:t>Account Aggregator Integration — consent-based multi-bank data pull for a complete financial picture.</w:t>
      </w:r>
    </w:p>
    <w:p>
      <w:pPr>
        <w:pStyle w:val="ListBullet"/>
        <w:ind w:left="360"/>
      </w:pPr>
      <w:r>
        <w:t>Responsible AI &amp; Compliance — consent-first data handling, explainable recommendations, KYC gating, and no misleading claims.</w:t>
      </w:r>
    </w:p>
    <w:p/>
    <w:p>
      <w:pPr>
        <w:pStyle w:val="Heading2"/>
      </w:pPr>
      <w:r>
        <w:rPr>
          <w:b/>
          <w:color w:val="1E5A9C"/>
          <w:sz w:val="28"/>
        </w:rPr>
        <w:t>3. Live Deployment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48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Frontend (Surge)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https://psb-securewealth-2026-new.surge.sh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Frontend (Render mirror)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https://psb-securewealth-frontend.onrender.com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https://psb-securewealth-backend.onrender.com/api/v1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https://psb-securewealth-backend.onrender.com/api/v1/health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Admin Status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https://psb-securewealth-backend.onrender.com/admin/status</w:t>
            </w:r>
          </w:p>
        </w:tc>
      </w:tr>
    </w:tbl>
    <w:p/>
    <w:p>
      <w:pPr>
        <w:pStyle w:val="Heading1"/>
      </w:pPr>
      <w:r>
        <w:rPr>
          <w:b/>
          <w:color w:val="0B2B52"/>
          <w:sz w:val="40"/>
        </w:rPr>
        <w:t>4. Complete Feature Inventory</w:t>
      </w:r>
    </w:p>
    <w:p>
      <w:pPr>
        <w:pStyle w:val="Heading2"/>
      </w:pPr>
      <w:r>
        <w:rPr>
          <w:b/>
          <w:color w:val="1E5A9C"/>
          <w:sz w:val="28"/>
        </w:rPr>
        <w:t>4.1 Wealth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Net worth, financial pulse, market hero, next-best-actions, wealth DNA, notifications.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Wealth Twin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Digital financial twin with Overview, Goals, Rebalance, Retirement, Tax, What-If tabs and conversational AI.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BHAVISHYA AI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Predictive life-cycle engine forecasting life events and financial shocks.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Goals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Goal tracker with AI coaching, boost cards, conflict intelligence, celebration animations.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Portfolio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Holdings, allocation, rebalancing, ESG scoring.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Assets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Bank + physical asset aggregation; manual asset form, AA account linking, physical-asset intelligence, vision appraisal.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Market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Live indices, global macro radar, market news, strategist signals, smart triggers.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Forecast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Scenario planning, Monte Carlo simulation, what-if forecasting.</w:t>
            </w:r>
          </w:p>
        </w:tc>
      </w:tr>
    </w:tbl>
    <w:p>
      <w:pPr>
        <w:pStyle w:val="Heading2"/>
      </w:pPr>
      <w:r>
        <w:rPr>
          <w:b/>
          <w:color w:val="1E5A9C"/>
          <w:sz w:val="28"/>
        </w:rPr>
        <w:t>4.2 Payments, Transactions &amp; Fraud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UPI/NEFT/card/QR simulator, bill splitter, group jar, voice payment, MPIN, rewards, streaks, cashback wallet.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Transactions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AI categorization, emotion check-in, receipt scanning, duplicate detection, smart tagging.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Protection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Core fraud hub: risk meter, fraud engine, OTP simulation, duress mode, panic button, cooling vault, threat intel, behavioral biometrics, URL safety.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 Beast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10-layer security dashboard: TPM, eBPF, honeytokens, passkeys, post-quantum crypto (ML-KEM), behavioral biometrics, decentralized identity, transaction traps, secure enclave, blockchain audit.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Privacy audit panel, consent controls, data transparency.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Immutable ledger of security events and protected actions.</w:t>
            </w:r>
          </w:p>
        </w:tc>
      </w:tr>
    </w:tbl>
    <w:p>
      <w:pPr>
        <w:pStyle w:val="Heading2"/>
      </w:pPr>
      <w:r>
        <w:rPr>
          <w:b/>
          <w:color w:val="1E5A9C"/>
          <w:sz w:val="28"/>
        </w:rPr>
        <w:t>4.3 Financial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Tax Planner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Old vs. new regime comparison, Section 80C tracker, tax calculator, deadline calendar, reports.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Calculators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EMI, SIP, FD, retirement, rent-vs-buy calculators.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Bill Calendar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Due dates, autopay reminders, recurring bill tracking.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Recurring Payments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Standing instructions and e-mandates.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Account Statement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Statement download and reconciliation.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Loan Center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Loan application and tracking.</w:t>
            </w:r>
          </w:p>
        </w:tc>
      </w:tr>
    </w:tbl>
    <w:p>
      <w:pPr>
        <w:pStyle w:val="Heading2"/>
      </w:pPr>
      <w:r>
        <w:rPr>
          <w:b/>
          <w:color w:val="1E5A9C"/>
          <w:sz w:val="28"/>
        </w:rPr>
        <w:t>4.4 Loans &amp; Credit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Credit Health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CIBIL-style score, factors, and improvement tips.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CreditBridge AI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Explainable, bias-audited retail &amp; MSME credit scoring with reason codes, counterfactual simulator, ethics dashboard, and lender marketplace.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MSME CreditBridge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Collateral-free MSME credit scoring and alternative-data underwriting.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Loans Hub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Landing page for all loan and credit products.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Social Collateral Loan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Community-backed trust-circle lending.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Loan Impact Simulator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Estimates real-economy impact of MSME credit disbursement.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Loan Research Showcase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Published research on algorithmic accountability in AI credit scoring.</w:t>
            </w:r>
          </w:p>
        </w:tc>
      </w:tr>
    </w:tbl>
    <w:p>
      <w:pPr>
        <w:pStyle w:val="Heading2"/>
      </w:pPr>
      <w:r>
        <w:rPr>
          <w:b/>
          <w:color w:val="1E5A9C"/>
          <w:sz w:val="28"/>
        </w:rPr>
        <w:t>4.5 Family, Lifestyle &amp; Gamification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Family Dashboard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Shared wallets, allowances, family goals.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Digital Gold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Buy, sell, and gift 24K gold digitally.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Track and cancel recurring subscriptions.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Challenges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Gamified savings and wealth challenges.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NRI Center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NRE/NRO, remittance, and FEMA tools.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SME Centre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Cash-flow timeline, surplus-fund advisor, working-capital health.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Kids Mode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Safe money lessons for children.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Senior Mode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Simplified, accessible UI for senior citizens.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Fantasy League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Portfolio fantasy league and gamified portfolio.</w:t>
            </w:r>
          </w:p>
        </w:tc>
      </w:tr>
    </w:tbl>
    <w:p>
      <w:pPr>
        <w:pStyle w:val="Heading2"/>
      </w:pPr>
      <w:r>
        <w:rPr>
          <w:b/>
          <w:color w:val="1E5A9C"/>
          <w:sz w:val="28"/>
        </w:rPr>
        <w:t>4.6 Innovation Lab, AI &amp;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Innovation Lab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Experimental hub: future self simulator, crisis predictor, macro-shock simulator, wealth weather, quantum lock, sovereign vault, etc.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 Recommendations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Explainable next-best-actions with reasoning tooltips and decision logs.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Values Alignment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Invest according to personal values.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Pitch Deck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Judge-facing pitch strategies and closing script.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Admin Panel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Standalone /admin portal with Fraud Intelligence Center, case explorer, heatmap, trace graph, live simulation.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Onboarding Wizard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First-time user setup.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Account Aggregator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RBI AA consent flow, fetch animation, callback handler.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Demo Mode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Public /demo showcase, judge tour, cinematic intro, demo personas.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Accessibility settings, i18n, voice narration.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5. Flagship Feature Deep-Dive: CreditBridge AI</w:t>
      </w:r>
    </w:p>
    <w:p>
      <w:r>
        <w:rPr>
          <w:b w:val="0"/>
          <w:i w:val="0"/>
          <w:sz w:val="21"/>
        </w:rPr>
        <w:t>CreditBridge AI addresses the credit gap for thin-file retail borrowers and MSMEs using alternate data and explainable AI.</w:t>
      </w:r>
    </w:p>
    <w:p>
      <w:pPr>
        <w:pStyle w:val="Heading2"/>
      </w:pPr>
      <w:r>
        <w:rPr>
          <w:b/>
          <w:color w:val="1E5A9C"/>
          <w:sz w:val="28"/>
        </w:rPr>
        <w:t>5.1 Phase 1 — Scoring Engine</w:t>
      </w:r>
    </w:p>
    <w:p>
      <w:pPr>
        <w:pStyle w:val="ListBullet"/>
        <w:ind w:left="360"/>
      </w:pPr>
      <w:r>
        <w:t>Dual mode: Retail/Individual and MSME.</w:t>
      </w:r>
    </w:p>
    <w:p>
      <w:pPr>
        <w:pStyle w:val="ListBullet"/>
        <w:ind w:left="360"/>
      </w:pPr>
      <w:r>
        <w:t>Transparent 300–900 score with exposed weights and clamps.</w:t>
      </w:r>
    </w:p>
    <w:p>
      <w:pPr>
        <w:pStyle w:val="ListBullet"/>
        <w:ind w:left="360"/>
      </w:pPr>
      <w:r>
        <w:t>No protected attributes (gender, caste, religion, location) are used.</w:t>
      </w:r>
    </w:p>
    <w:p>
      <w:pPr>
        <w:pStyle w:val="Heading2"/>
      </w:pPr>
      <w:r>
        <w:rPr>
          <w:b/>
          <w:color w:val="1E5A9C"/>
          <w:sz w:val="28"/>
        </w:rPr>
        <w:t>5.2 Phase 2 — Explainability (XAI)</w:t>
      </w:r>
    </w:p>
    <w:p>
      <w:pPr>
        <w:pStyle w:val="ListBullet"/>
        <w:ind w:left="360"/>
      </w:pPr>
      <w:r>
        <w:t>SHAP-style factor breakdown with per-factor point impact.</w:t>
      </w:r>
    </w:p>
    <w:p>
      <w:pPr>
        <w:pStyle w:val="ListBullet"/>
        <w:ind w:left="360"/>
      </w:pPr>
      <w:r>
        <w:t>Rejection reason codes (CB-R01 to CB-R07) with actionable steps.</w:t>
      </w:r>
    </w:p>
    <w:p>
      <w:pPr>
        <w:pStyle w:val="ListBullet"/>
        <w:ind w:left="360"/>
      </w:pPr>
      <w:r>
        <w:t>Counterfactual ‘What-If’ simulator.</w:t>
      </w:r>
    </w:p>
    <w:p>
      <w:pPr>
        <w:pStyle w:val="ListBullet"/>
        <w:ind w:left="360"/>
      </w:pPr>
      <w:r>
        <w:t>CreditBridge vs Bureau-Only comparison and score waterfall chart.</w:t>
      </w:r>
    </w:p>
    <w:p>
      <w:pPr>
        <w:pStyle w:val="ListBullet"/>
        <w:ind w:left="360"/>
      </w:pPr>
      <w:r>
        <w:t>PDF explanation report export.</w:t>
      </w:r>
    </w:p>
    <w:p>
      <w:pPr>
        <w:pStyle w:val="Heading2"/>
      </w:pPr>
      <w:r>
        <w:rPr>
          <w:b/>
          <w:color w:val="1E5A9C"/>
          <w:sz w:val="28"/>
        </w:rPr>
        <w:t>5.3 Phase 3 — Ethics &amp; Accountability</w:t>
      </w:r>
    </w:p>
    <w:p>
      <w:pPr>
        <w:pStyle w:val="ListBullet"/>
        <w:ind w:left="360"/>
      </w:pPr>
      <w:r>
        <w:t>Model governance card with version, audit date, approved-by, data sources.</w:t>
      </w:r>
    </w:p>
    <w:p>
      <w:pPr>
        <w:pStyle w:val="ListBullet"/>
        <w:ind w:left="360"/>
      </w:pPr>
      <w:r>
        <w:t>Consent &amp; data provenance ledger.</w:t>
      </w:r>
    </w:p>
    <w:p>
      <w:pPr>
        <w:pStyle w:val="ListBullet"/>
        <w:ind w:left="360"/>
      </w:pPr>
      <w:r>
        <w:t>Human review queue simulation with Approve/Reject/Escalate.</w:t>
      </w:r>
    </w:p>
    <w:p>
      <w:pPr>
        <w:pStyle w:val="ListBullet"/>
        <w:ind w:left="360"/>
      </w:pPr>
      <w:r>
        <w:t>Auto-generated adverse action notice with applicant rights.</w:t>
      </w:r>
    </w:p>
    <w:p>
      <w:pPr>
        <w:pStyle w:val="ListBullet"/>
        <w:ind w:left="360"/>
      </w:pPr>
      <w:r>
        <w:t>Accountability scorecard across explainability, fairness, oversight, regulatory alignment.</w:t>
      </w:r>
    </w:p>
    <w:p>
      <w:pPr>
        <w:pStyle w:val="Heading2"/>
      </w:pPr>
      <w:r>
        <w:rPr>
          <w:b/>
          <w:color w:val="1E5A9C"/>
          <w:sz w:val="28"/>
        </w:rPr>
        <w:t>5.4 Phase 4 — Lender Marketplace</w:t>
      </w:r>
    </w:p>
    <w:p>
      <w:pPr>
        <w:pStyle w:val="ListBullet"/>
        <w:ind w:left="360"/>
      </w:pPr>
      <w:r>
        <w:t>Product catalog with purpose, rates, tenure, collateral, and sector/women-led boosts.</w:t>
      </w:r>
    </w:p>
    <w:p>
      <w:pPr>
        <w:pStyle w:val="ListBullet"/>
        <w:ind w:left="360"/>
      </w:pPr>
      <w:r>
        <w:t>Smart match scoring beyond a simple score cutoff.</w:t>
      </w:r>
    </w:p>
    <w:p>
      <w:pPr>
        <w:pStyle w:val="ListBullet"/>
        <w:ind w:left="360"/>
      </w:pPr>
      <w:r>
        <w:t>Filters by purpose, collateral, women-led.</w:t>
      </w:r>
    </w:p>
    <w:p>
      <w:pPr>
        <w:pStyle w:val="ListBullet"/>
        <w:ind w:left="360"/>
      </w:pPr>
      <w:r>
        <w:t>Offer detail modal with live EMI calculator and eligibility checklist.</w:t>
      </w:r>
    </w:p>
    <w:p>
      <w:pPr>
        <w:pStyle w:val="Heading2"/>
      </w:pPr>
      <w:r>
        <w:rPr>
          <w:b/>
          <w:color w:val="1E5A9C"/>
          <w:sz w:val="28"/>
        </w:rPr>
        <w:t>5.5 Phase 5 — UX Polish</w:t>
      </w:r>
    </w:p>
    <w:p>
      <w:pPr>
        <w:pStyle w:val="ListBullet"/>
        <w:ind w:left="360"/>
      </w:pPr>
      <w:r>
        <w:t>Demo persona quick-fill buttons (Strong / Average / Risky).</w:t>
      </w:r>
    </w:p>
    <w:p>
      <w:pPr>
        <w:pStyle w:val="ListBullet"/>
        <w:ind w:left="360"/>
      </w:pPr>
      <w:r>
        <w:t>Input summary chips and real toast notifications.</w:t>
      </w:r>
    </w:p>
    <w:p>
      <w:pPr>
        <w:pStyle w:val="ListBullet"/>
        <w:ind w:left="360"/>
      </w:pPr>
      <w:r>
        <w:t>Accessibility improvements on toggle switches.</w:t>
      </w:r>
    </w:p>
    <w:p>
      <w:pPr>
        <w:pStyle w:val="Heading1"/>
      </w:pPr>
      <w:r>
        <w:rPr>
          <w:b/>
          <w:color w:val="0B2B52"/>
          <w:sz w:val="40"/>
        </w:rPr>
        <w:t>6. Why Was This Tool Built?</w:t>
      </w:r>
    </w:p>
    <w:p>
      <w:r>
        <w:rPr>
          <w:b w:val="0"/>
          <w:i w:val="0"/>
          <w:sz w:val="21"/>
        </w:rPr>
        <w:t>The following flowchart maps the problem-to-solution journey: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806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Customer Pain Point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Digital wealth users face fraud, impulsive actions, and a lack of personalized guidance.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Bank Responsibility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Banks must grow customer wealth AND safeguard it during critical money actions.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Regulatory &amp; Trust Need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DPDP Act, RBI digital lending guidelines, and customer demand for explainable, consent-first AI.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SecureWealth Twin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AI-powered virtual financial twin + mandatory cyber-fraud protection layer.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Wealth created responsibly, protected proportionally, and explained transparently.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7. How Was It Built?</w:t>
      </w:r>
    </w:p>
    <w:p>
      <w:pPr>
        <w:pStyle w:val="Heading2"/>
      </w:pPr>
      <w:r>
        <w:rPr>
          <w:b/>
          <w:color w:val="1E5A9C"/>
          <w:sz w:val="28"/>
        </w:rPr>
        <w:t>7.1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React 19.2.5, TypeScript, Vite 8, Tailwind CSS v4, Framer Motion, Recharts, Lucide React, Zustand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Node.js, Express, SQLite (better-sqlite3), JWT, bcryptjs, Helmet, express-rate-limit, Winston, WebSocket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Multi-provider orchestrator: Gemini, Groq, OpenAI, Anthropic, Cohere, Mistral, DeepSeek, Grok, NVIDIA, Hugging Face, OpenRouter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ML-KEM-768, WebAuthn/Passkeys, FingerprintJS, behavioral biometrics, duress PIN, transaction trap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 Ingestion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Yahoo Finance, RBI/World Bank, Alpha Vantage, Kaggle metadata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Render (backend + static), Surge (frontend), Docker, GitHub Actions</w:t>
            </w:r>
          </w:p>
        </w:tc>
      </w:tr>
    </w:tbl>
    <w:p>
      <w:pPr>
        <w:pStyle w:val="Heading2"/>
      </w:pPr>
      <w:r>
        <w:rPr>
          <w:b/>
          <w:color w:val="1E5A9C"/>
          <w:sz w:val="28"/>
        </w:rPr>
        <w:t>7.2 Python Code Used</w:t>
      </w:r>
    </w:p>
    <w:p>
      <w:r>
        <w:rPr>
          <w:b w:val="0"/>
          <w:i w:val="0"/>
          <w:sz w:val="21"/>
        </w:rPr>
        <w:t>Three Python scripts at the project root generate supporting Word documents for the demo team. They are not part of the runtime app but are part of the solution/documentation workflow.</w:t>
      </w:r>
    </w:p>
    <w:p>
      <w:pPr>
        <w:pStyle w:val="Heading3"/>
      </w:pPr>
      <w:r>
        <w:rPr>
          <w:b/>
          <w:color w:val="0B2B52"/>
          <w:sz w:val="24"/>
        </w:rPr>
        <w:t>build_cuecard.py</w:t>
      </w:r>
    </w:p>
    <w:p>
      <w:r>
        <w:rPr>
          <w:b w:val="0"/>
          <w:i w:val="0"/>
          <w:sz w:val="21"/>
        </w:rPr>
        <w:t>Generates a one-page printable 10-minute demo cue card with click order and talking points.</w:t>
      </w:r>
    </w:p>
    <w:p>
      <w:pPr>
        <w:spacing w:before="80" w:after="80"/>
        <w:ind w:left="288"/>
      </w:pPr>
      <w:r>
        <w:rPr>
          <w:rFonts w:ascii="Courier New" w:hAnsi="Courier New"/>
          <w:color w:val="555555"/>
          <w:sz w:val="16"/>
        </w:rPr>
        <w:t># -*- coding: utf-8 -*-</w:t>
        <w:br/>
        <w:t>"""One-page printable demo cue card for the screen driver."""</w:t>
        <w:br/>
        <w:t>from docx import Document</w:t>
        <w:br/>
        <w:t>from docx.shared import Pt, RGBColor, Inches</w:t>
        <w:br/>
        <w:t>from docx.enum.text import WD_ALIGN_PARAGRAPH</w:t>
        <w:br/>
        <w:t>from docx.enum.section import WD_ORIENT</w:t>
        <w:br/>
        <w:t>from docx.oxml.ns import qn</w:t>
        <w:br/>
        <w:t>from docx.oxml import OxmlElement</w:t>
        <w:br/>
        <w:br/>
        <w:t>NAVY = RGBColor(0x0B, 0x2B, 0x52)</w:t>
        <w:br/>
        <w:t>RED  = RGBColor(0xB3, 0x1B, 0x1B)</w:t>
        <w:br/>
        <w:t>GREEN= RGBColor(0x1B, 0x7A, 0x3D)</w:t>
        <w:br/>
        <w:t>GREY = RGBColor(0x55, 0x55, 0x55)</w:t>
        <w:br/>
        <w:t>WHITE= RGBColor(0xFF, 0xFF, 0xFF)</w:t>
        <w:br/>
        <w:br/>
        <w:t>doc = Document()</w:t>
        <w:br/>
        <w:t>sec = doc.sections[0]</w:t>
        <w:br/>
        <w:t>sec.top_margin = Inches(0.4); sec.bottom_margin = Inches(0.4)</w:t>
        <w:br/>
        <w:t>sec.left_margin = Inches(0.5); sec.right_margin = Inches(0.5)</w:t>
        <w:br/>
        <w:t>doc.styles['Normal'].font.name = 'Calibri'</w:t>
        <w:br/>
        <w:t>doc.styles['Normal'].font.size = Pt(9)</w:t>
        <w:br/>
        <w:br/>
        <w:t>def shade(cell, hexcolor):</w:t>
        <w:br/>
        <w:t xml:space="preserve">    tcPr = cell._tc.get_or_add_tcPr(); sh = OxmlElement('w:shd')</w:t>
        <w:br/>
        <w:t xml:space="preserve">    sh.set(qn('w:val'),'clear'); sh.set(qn('w:color'),'auto'); sh.set(qn('w:fill'),hexcolor); tcPr.append(sh)</w:t>
        <w:br/>
        <w:br/>
        <w:t># Title</w:t>
        <w:br/>
        <w:t>p = doc.add_paragraph(); p.alignment = WD_ALIGN_PARAGRAPH.CENTER; p.paragraph_format.space_after = Pt(1)</w:t>
        <w:br/>
        <w:t>r = p.add_run('SECUREWEALTH TWIN — 10-MIN DEMO CUE CARD'); r.bold=True; r.font.size=Pt(14); r.font.color.rgb=NAVY</w:t>
        <w:br/>
        <w:t>p = doc.add_paragraph(); p.alignment = WD_ALIGN_PARAGRAPH.CENTER; p.paragraph_format.space_after = Pt(4)</w:t>
        <w:br/>
        <w:t>r = p.add_run('Driver: follow top to bottom. Spend the MOST time on the red block.'); r.italic=True; r.font.size=Pt(8.5); r.font.color.rgb=GREY</w:t>
        <w:br/>
        <w:br/>
        <w:t># Pitch box</w:t>
        <w:br/>
        <w:t>t = doc.add_table(rows=1, cols=1); t.style='Table Grid'</w:t>
        <w:br/>
        <w:t>c = t.rows[0].cells[0]; shade(c,'EAF1FB')</w:t>
        <w:br/>
        <w:t>pp = c.paragraphs[0]; pp.paragraph_format.space_after=Pt(1)</w:t>
        <w:br/>
        <w:t>rr = pp.add_run('OPENING LINE: '); rr.bold=True; rr.font.size=Pt(9); rr.font.color.rgb=NAVY</w:t>
        <w:br/>
        <w:t>rr2 = pp.add_run('"SecureWealth Twin grows wealth intelligently, and a mandatory cyber-protection layer guards every critical money action — Allow, Warn, or Block."'); rr2.italic=True; rr2.font.size=Pt(9)</w:t>
        <w:br/>
        <w:t>doc.add_paragraph().paragraph_format.space_after=Pt(2)</w:t>
        <w:br/>
        <w:br/>
      </w:r>
    </w:p>
    <w:p>
      <w:pPr>
        <w:pStyle w:val="Heading3"/>
      </w:pPr>
      <w:r>
        <w:rPr>
          <w:b/>
          <w:color w:val="0B2B52"/>
          <w:sz w:val="24"/>
        </w:rPr>
        <w:t>build_playbook.py</w:t>
      </w:r>
    </w:p>
    <w:p>
      <w:r>
        <w:rPr>
          <w:b w:val="0"/>
          <w:i w:val="0"/>
          <w:sz w:val="21"/>
        </w:rPr>
        <w:t>Generates the full team demo playbook: pitch, architecture, feature inventory, protection layer deep-dive, run-of-show, compliance, Q&amp;A bank, roles, scoring cheat-sheet.</w:t>
      </w:r>
    </w:p>
    <w:p>
      <w:pPr>
        <w:spacing w:before="80" w:after="80"/>
        <w:ind w:left="288"/>
      </w:pPr>
      <w:r>
        <w:rPr>
          <w:rFonts w:ascii="Courier New" w:hAnsi="Courier New"/>
          <w:color w:val="555555"/>
          <w:sz w:val="16"/>
        </w:rPr>
        <w:t># -*- coding: utf-8 -*-</w:t>
        <w:br/>
        <w:t>"""Generates the PSB SecureWealth Twin — Team Demo Playbook (.docx)."""</w:t>
        <w:br/>
        <w:t>from docx import Document</w:t>
        <w:br/>
        <w:t>from docx.shared import Pt, RGBColor, Inches</w:t>
        <w:br/>
        <w:t>from docx.enum.text import WD_ALIGN_PARAGRAPH</w:t>
        <w:br/>
        <w:t>from docx.enum.table import WD_TABLE_ALIGNMENT</w:t>
        <w:br/>
        <w:t>from docx.oxml.ns import qn</w:t>
        <w:br/>
        <w:t>from docx.oxml import OxmlElement</w:t>
        <w:br/>
        <w:br/>
        <w:t>NAVY = RGBColor(0x0B, 0x2B, 0x52)</w:t>
        <w:br/>
        <w:t>BLUE = RGBColor(0x1E, 0x5A, 0x9C)</w:t>
        <w:br/>
        <w:t>GREEN = RGBColor(0x1B, 0x7A, 0x3D)</w:t>
        <w:br/>
        <w:t>RED = RGBColor(0xB3, 0x1B, 0x1B)</w:t>
        <w:br/>
        <w:t>AMBER = RGBColor(0xB5, 0x6A, 0x00)</w:t>
        <w:br/>
        <w:t>GREY = RGBColor(0x55, 0x55, 0x55)</w:t>
        <w:br/>
        <w:br/>
        <w:t>doc = Document()</w:t>
        <w:br/>
        <w:br/>
        <w:t># base style</w:t>
        <w:br/>
        <w:t>st = doc.styles['Normal']</w:t>
        <w:br/>
        <w:t>st.font.name = 'Calibri'</w:t>
        <w:br/>
        <w:t>st.font.size = Pt(10.5)</w:t>
        <w:br/>
        <w:br/>
        <w:t>def shade(cell, hexcolor):</w:t>
        <w:br/>
        <w:t xml:space="preserve">    tcPr = cell._tc.get_or_add_tcPr()</w:t>
        <w:br/>
        <w:t xml:space="preserve">    sh = OxmlElement('w:shd')</w:t>
        <w:br/>
        <w:t xml:space="preserve">    sh.set(qn('w:val'), 'clear'); sh.set(qn('w:color'), 'auto'); sh.set(qn('w:fill'), hexcolor)</w:t>
        <w:br/>
        <w:t xml:space="preserve">    tcPr.append(sh)</w:t>
        <w:br/>
        <w:br/>
        <w:t>def H1(text, color=NAVY):</w:t>
        <w:br/>
        <w:t xml:space="preserve">    p = doc.add_heading(level=1)</w:t>
        <w:br/>
        <w:t xml:space="preserve">    r = p.add_run(text); r.font.color.rgb = color; r.font.size = Pt(17); r.bold = True</w:t>
        <w:br/>
        <w:t xml:space="preserve">    return p</w:t>
        <w:br/>
        <w:br/>
        <w:t>def H2(text, color=BLUE):</w:t>
        <w:br/>
        <w:t xml:space="preserve">    p = doc.add_heading(level=2)</w:t>
        <w:br/>
        <w:t xml:space="preserve">    r = p.add_run(text); r.font.color.rgb = color; r.font.size = Pt(13.5); r.bold = True</w:t>
        <w:br/>
        <w:t xml:space="preserve">    return p</w:t>
        <w:br/>
        <w:br/>
        <w:t>def H3(text, color=NAVY):</w:t>
        <w:br/>
      </w:r>
    </w:p>
    <w:p>
      <w:pPr>
        <w:pStyle w:val="Heading3"/>
      </w:pPr>
      <w:r>
        <w:rPr>
          <w:b/>
          <w:color w:val="0B2B52"/>
          <w:sz w:val="24"/>
        </w:rPr>
        <w:t>build_tooltable.py</w:t>
      </w:r>
    </w:p>
    <w:p>
      <w:r>
        <w:rPr>
          <w:b w:val="0"/>
          <w:i w:val="0"/>
          <w:sz w:val="21"/>
        </w:rPr>
        <w:t>Generates a landscape tool table in Hinglish: which component to show, when, why, how it is built, and which judging metric it scores.</w:t>
      </w:r>
    </w:p>
    <w:p>
      <w:pPr>
        <w:spacing w:before="80" w:after="80"/>
        <w:ind w:left="288"/>
      </w:pPr>
      <w:r>
        <w:rPr>
          <w:rFonts w:ascii="Courier New" w:hAnsi="Courier New"/>
          <w:color w:val="555555"/>
          <w:sz w:val="16"/>
        </w:rPr>
        <w:t># -*- coding: utf-8 -*-</w:t>
        <w:br/>
        <w:t>"""10-Minute Demo Tool Table (Hinglish) -&gt; Word doc."""</w:t>
        <w:br/>
        <w:t>from docx import Document</w:t>
        <w:br/>
        <w:t>from docx.shared import Pt, RGBColor, Inches</w:t>
        <w:br/>
        <w:t>from docx.enum.text import WD_ALIGN_PARAGRAPH</w:t>
        <w:br/>
        <w:t>from docx.enum.section import WD_ORIENT</w:t>
        <w:br/>
        <w:t>from docx.enum.table import WD_TABLE_ALIGNMENT</w:t>
        <w:br/>
        <w:t>from docx.oxml.ns import qn</w:t>
        <w:br/>
        <w:t>from docx.oxml import OxmlElement</w:t>
        <w:br/>
        <w:br/>
        <w:t>NAVY=RGBColor(0x0B,0x2B,0x52); BLUE=RGBColor(0x1E,0x5A,0x9C); RED=RGBColor(0xB3,0x1B,0x1B)</w:t>
        <w:br/>
        <w:t>GREEN=RGBColor(0x1B,0x7A,0x3D); GREY=RGBColor(0x55,0x55,0x55); WHITE=RGBColor(0xFF,0xFF,0xFF)</w:t>
        <w:br/>
        <w:br/>
        <w:t>doc=Document()</w:t>
        <w:br/>
        <w:t>sec=doc.sections[0]</w:t>
        <w:br/>
        <w:t>sec.orientation=WD_ORIENT.LANDSCAPE</w:t>
        <w:br/>
        <w:t>sec.page_width, sec.page_height = sec.page_height, sec.page_width</w:t>
        <w:br/>
        <w:t>sec.top_margin=Inches(0.4); sec.bottom_margin=Inches(0.4); sec.left_margin=Inches(0.4); sec.right_margin=Inches(0.4)</w:t>
        <w:br/>
        <w:t>doc.styles['Normal'].font.name='Calibri'; doc.styles['Normal'].font.size=Pt(8.5)</w:t>
        <w:br/>
        <w:br/>
        <w:t>def shade(cell,hexcolor):</w:t>
        <w:br/>
        <w:t xml:space="preserve">    tcPr=cell._tc.get_or_add_tcPr(); sh=OxmlElement('w:shd')</w:t>
        <w:br/>
        <w:t xml:space="preserve">    sh.set(qn('w:val'),'clear'); sh.set(qn('w:color'),'auto'); sh.set(qn('w:fill'),hexcolor); tcPr.append(sh)</w:t>
        <w:br/>
        <w:br/>
        <w:t>def title(text,size,color,after=2,it=False):</w:t>
        <w:br/>
        <w:t xml:space="preserve">    p=doc.add_paragraph(); p.alignment=WD_ALIGN_PARAGRAPH.CENTER; p.paragraph_format.space_after=Pt(after)</w:t>
        <w:br/>
        <w:t xml:space="preserve">    r=p.add_run(text); r.bold=True; r.font.size=Pt(size); r.font.color.rgb=color; r.italic=it</w:t>
        <w:br/>
        <w:t xml:space="preserve">    return p</w:t>
        <w:br/>
        <w:br/>
        <w:t>title('SECUREWEALTH TWIN — 10 MINUTE DEMO TOOL TABLE',16,NAVY)</w:t>
        <w:br/>
        <w:t>title('Kaunsa tool dikhana hai, kab, kyun (problem statement), kaise bana, aur kaunsa score milega',9.5,GREY,after=6,it=True)</w:t>
        <w:br/>
        <w:br/>
        <w:t># ---- main table ----</w:t>
        <w:br/>
        <w:t>headers=['#','Tool (Component)','Time','PS Relevance (kya cover karta hai)','Kaise Bana (library/method)','Score','Pri']</w:t>
        <w:br/>
        <w:t>widths=[0.3,1.9,0.65,3.1,2.9,0.8,0.55]</w:t>
        <w:br/>
        <w:t>rows=[</w:t>
        <w:br/>
        <w:t xml:space="preserve"> ('1','Architecture slide + live app','0:45','Bank integration, real prototype','PDF flow diagram; deployed Render+Surge','M6,7','***'),</w:t>
        <w:br/>
        <w:t xml:space="preserve"> ('2','DashboardView + NetWorthCard','1:30','Net worth, spending/income (PS #1,5)','React+TS, Context state; balances+assets sum','M1,3','***'),</w:t>
        <w:br/>
        <w:t xml:space="preserve"> ('3','AccountAggregatorFull + AAFetchAnimation','2:00','AA integration (PS #4)','React consent flow; aaBanks data; simulated fetch','M1,Comp','****'),</w:t>
        <w:br/>
        <w:t xml:space="preserve"> ('4','ManualAssetForm / PhysicalAssetIntelligence','2:20','Gold/property/vehicle -&gt; net worth (PS #5)','Form -&gt; backend /banking/assets (per-user SQLite)','M1','**'),</w:t>
        <w:br/>
        <w:t xml:space="preserve"> ('5','GoalTracker','2:45','Goal planning "Save Rs.X more" (Outcome #3)','Component + useRecommendationEngine hook','M1','***'),</w:t>
        <w:br/>
        <w:t xml:space="preserve"> ('6','AIRecommendationsView + NBAInsights','3:00','Timely suggestion WITH reason (PS #6)','aiOrchestrator (multi-provider) + explainable card','M1,4','****'),</w:t>
        <w:br/>
        <w:t xml:space="preserve"> ('7','DeviceStatusCard / DeviceFingerprintPanel','3:30','Trusted vs new device (Protection #1)','fingerprintService.ts -&gt; device id, trust flag','M2','*****'),</w:t>
        <w:br/>
        <w:t xml:space="preserve"> ('8','timingCheck (&lt;10s flag)','4:00','Rushed action after login (Protection #2)','Express middleware timingCheck.js, timestamp diff','M2','*****'),</w:t>
        <w:br/>
        <w:t xml:space="preserve"> ('9','RiskMeter (amount vs history)','4:45','Unusual amount (Protection #3)','fraudDetectionService.ts - rule-based weighted scoring','M2','*****'),</w:t>
        <w:br/>
      </w:r>
    </w:p>
    <w:p>
      <w:pPr>
        <w:pStyle w:val="Heading1"/>
      </w:pPr>
      <w:r>
        <w:rPr>
          <w:b/>
          <w:color w:val="0B2B52"/>
          <w:sz w:val="40"/>
        </w:rPr>
        <w:t>8. Benefits &amp;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Benefit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Retail Customers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Personalized saving/investing guidance, goal tracking, fraud protection, simplified UI for seniors/kids.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MSMEs / Businesses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Cash-flow analysis, surplus fund management, working-capital health, collateral-free credit scoring.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Students / First-Time Investors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Guided financial journey, simple nudges, scenario simulation, no jargon.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Families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Shared wallets, family goals, education/retirement planning, transparent AI reasoning.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 Bank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Better engagement, cross-selling, retention, safer digital wealth adoption, data-driven product offerings.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Regulators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Consent-first data handling, explainable AI, audit logs, KYC gating, no misleading claims.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9. Architecture Flowchart</w:t>
      </w:r>
    </w:p>
    <w:p>
      <w:r>
        <w:rPr>
          <w:b w:val="0"/>
          <w:i w:val="0"/>
          <w:sz w:val="21"/>
        </w:rPr>
        <w:t>The diagram below shows how users, frontend, backend, data sources, AI providers, and admin/fraud operations connect.</w:t>
      </w:r>
    </w:p>
    <w:p>
      <w:r>
        <w:drawing>
          <wp:inline xmlns:a="http://schemas.openxmlformats.org/drawingml/2006/main" xmlns:pic="http://schemas.openxmlformats.org/drawingml/2006/picture">
            <wp:extent cx="5943600" cy="3955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wealth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1E5A9C"/>
          <w:sz w:val="28"/>
        </w:rPr>
        <w:t>9.1 Architecture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Flow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User → Frontend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React SPA collects device fingerprint and JWT after login.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 → Backend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Authenticated API calls with Bearer JWT and X-Device-Id; CORS, Helmet, rate limits, JWT validation, per-user data scoping.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Account Aggregator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Consent-based multi-bank data pull via RBI AA flow.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Protection Flow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High-value actions checked by client-side fraud service and server timingCheck; summed into Wealth Protection Risk Score → Allow / Warn / Block.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 &amp; AI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Real-world market/RBI data ingested into SQLite; AI prompts routed through multi-provider orchestrator with caching, quota, fallback.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Admin &amp; Fraud Ops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Admin portal authenticates with Bearer token; Fraud Intelligence Center polls fraud APIs and receives live WebSocket alerts.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10. Compliance &amp; Responsible AI</w:t>
      </w:r>
    </w:p>
    <w:p>
      <w:pPr>
        <w:pStyle w:val="ListBullet"/>
        <w:ind w:left="360"/>
      </w:pPr>
      <w:r>
        <w:t>Customer Data Privacy &amp; Consent — clear permission before using financial data; explain what is collected and why.</w:t>
      </w:r>
    </w:p>
    <w:p>
      <w:pPr>
        <w:pStyle w:val="ListBullet"/>
        <w:ind w:left="360"/>
      </w:pPr>
      <w:r>
        <w:t>Secure Handling — encryption, secure APIs, no plain-text sensitive data; safe data flow even if simulated.</w:t>
      </w:r>
    </w:p>
    <w:p>
      <w:pPr>
        <w:pStyle w:val="ListBullet"/>
        <w:ind w:left="360"/>
      </w:pPr>
      <w:r>
        <w:t>Transparent &amp; Explainable AI — no mysterious advice; show how and why recommendations are made.</w:t>
      </w:r>
    </w:p>
    <w:p>
      <w:pPr>
        <w:pStyle w:val="ListBullet"/>
        <w:ind w:left="360"/>
      </w:pPr>
      <w:r>
        <w:t>No Misleading Claims — only suggestions or simulated outcomes, no guaranteed returns or zero-risk claims.</w:t>
      </w:r>
    </w:p>
    <w:p>
      <w:pPr>
        <w:pStyle w:val="ListBullet"/>
        <w:ind w:left="360"/>
      </w:pPr>
      <w:r>
        <w:t>Basic Financial Regulations — KYC before real investment; demo badges shown for simulation.</w:t>
      </w:r>
    </w:p>
    <w:p>
      <w:pPr>
        <w:pStyle w:val="Heading1"/>
      </w:pPr>
      <w:r>
        <w:rPr>
          <w:b/>
          <w:color w:val="0B2B52"/>
          <w:sz w:val="40"/>
        </w:rPr>
        <w:t>11. Suggested Demo Flow for Judges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016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460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What to Show</w:t>
            </w:r>
          </w:p>
        </w:tc>
        <w:tc>
          <w:tcPr>
            <w:tcW w:type="dxa" w:w="360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Key Message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0:00-0:45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Hook + Architecture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Live app + architecture slide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We grow wealth AND protect it — dual mandate.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0:45-3:00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Wealth Twin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Dashboard → AA → Assets → Goals → AI Recommendations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The twin builds a full picture and gives advice WITH a reason.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3:00-6:00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Protection Layer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High-value action → device/timing/amount/OTP → Risk Score → Warn/Block + Duress PIN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Every critical action passes a proportional protection layer.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6:00-7:30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Responsible AI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Explainable tooltip → Consent → KYC → Audit log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Consent-first, explainable, auditable.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7:30-9:00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Innovation / CreditBridge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Innovation Lab or CreditBridge AI scoring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40+ modules; lightweight by default, deep on demand.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9:00-10:00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Scale + Close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Tech stack + deployment + team roles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React + Node + Docker + AA + mock CBS; ready to scale.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12. Appendix: Evaluation Metrics Mapping</w:t>
      </w:r>
    </w:p>
    <w:p>
      <w:r>
        <w:rPr>
          <w:b w:val="0"/>
          <w:i w:val="0"/>
          <w:sz w:val="21"/>
        </w:rPr>
        <w:t>Map the hackathon success metrics to features in this solution: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91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Features That Satisfy It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Quality of Wealth Intelligence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Wealth Twin, AI Recommendations, Goals, Portfolio, Market, Forecast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Effectiveness of Wealth Protection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Protection hub, Risk Meter, OTP simulation, Duress mode, Cooling Vault, Security Beast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Simplicity &amp; UX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Dashboard, Command Palette, Senior/Kids mode, Toast notifications, Accessibility settings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Use of AI / Data Analytics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Multi-provider AI orchestrator, spending persona, BHAVISHYA, CreditBridge scoring, real-world data ingestion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Innovation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Innovation Lab, CreditBridge AI, Social Collateral Loan, Behavioral biometrics, Quantum lock, Sovereign vault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Technical Design &amp; Architecture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Feature-folder React, Node microservice structure, SQLite/PostgreSQL adapter, Docker, CI/CD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Scalability &amp; Practicality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Docker container, Render/Surge deployment, multi-provider AI fallback, offline action queue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