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sentiment of the latest news around Spirit Airlines (ticker: SAVE) is negative. This negative sentiment primarily stems from the uncertainty and potential termination of the planned $3.8 billion merger deal with JetBlue Airways. Here's a breakdown of why the sentiment is negative: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**Uncertainty and Potential Termination of the Merger Deal**: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JetBlue informed Spirit Airlines that certain conditions necessary to close the merger might not be met by the stipulated deadlines, implying a risk of the merger being terminable after January 28, 2024. This situation introduces significant uncertainty regarding the future of the deal.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**Antitrust Concerns and Legal Challenges**: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federal judge has already blocked the deal on antitrust grounds, which weighs heavily on the prospects of the merger concluding successfully. Spirit Airlines and JetBlue's plan to appeal doesn't erase the immediate negative impact of this decision.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**Financial Consequences for Spirit**: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failure of the merger due to antitrust issues could lead JetBlue to owe Spirit a breakup fee; however, the immediate effect on Spirit's stock price and investor confidence has been materially negative. Spirit's stock price dropped by over 60% since the federal judge's ruling against the merger.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**Market Reaction**: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Following these developments, Spirit Airlines' stock experienced a significant decline, with an 18% drop on the day JetBlue announced it might not fulfill all provisions of the merger deal in the required timeframe.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these challenges, some positive notes were mentioned regarding Spirit Airlines' financial health, such as anticipation of fourth-quarter 2023 revenue being at the high end of its guidance and having $1.3 billion in liquidity as of December 31, 2023. However, these positives are overshadowed by the overarching negative sentiment driven by uncertainty and challenges surrounding the JetBlue merger agreement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