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965a" w:space="0" w:sz="32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26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65a"/>
                <w:sz w:val="18"/>
                <w:szCs w:val="18"/>
                <w:rtl w:val="0"/>
              </w:rPr>
              <w:t xml:space="preserve">INSTITUTIONAL MARKET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52"/>
                <w:szCs w:val="52"/>
                <w:rtl w:val="0"/>
              </w:rPr>
              <w:t xml:space="preserve">GLOBAL INVESTMENT VIEWS 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bottom w:color="00965a" w:space="8" w:sz="12" w:val="single"/>
              </w:pBdr>
              <w:spacing w:after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2926"/>
                <w:sz w:val="26"/>
                <w:szCs w:val="26"/>
                <w:rtl w:val="0"/>
              </w:rPr>
              <w:t xml:space="preserve">Weekly Market Intelligence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9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684"/>
                <w:sz w:val="19"/>
                <w:szCs w:val="19"/>
                <w:rtl w:val="0"/>
              </w:rPr>
              <w:t xml:space="preserve">A source-grounded synthesis of macro, cross-asset and institutional investment 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9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00.0" w:type="dxa"/>
        <w:jc w:val="left"/>
        <w:tblInd w:w="2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5"/>
                <w:szCs w:val="15"/>
                <w:rtl w:val="0"/>
              </w:rPr>
              <w:t xml:space="preserve">WEEK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6"/>
                <w:szCs w:val="16"/>
                <w:rtl w:val="0"/>
              </w:rPr>
              <w:t xml:space="preserve">{{week_covered}}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5"/>
                <w:szCs w:val="15"/>
                <w:rtl w:val="0"/>
              </w:rPr>
              <w:t xml:space="preserve">RUN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6"/>
                <w:szCs w:val="16"/>
                <w:rtl w:val="0"/>
              </w:rPr>
              <w:t xml:space="preserve">{{run_date}}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5"/>
                <w:szCs w:val="15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6"/>
                <w:szCs w:val="16"/>
                <w:rtl w:val="0"/>
              </w:rPr>
              <w:t xml:space="preserve">{{prepared_for}}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5"/>
                <w:szCs w:val="15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6"/>
                <w:szCs w:val="16"/>
                <w:rtl w:val="0"/>
              </w:rPr>
              <w:t xml:space="preserve">{{prepared_by}}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9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d9dee5" w:space="8" w:sz="4" w:val="single"/>
        </w:pBdr>
        <w:spacing w:before="200" w:lineRule="auto"/>
        <w:ind w:left="224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4"/>
          <w:szCs w:val="14"/>
          <w:rtl w:val="0"/>
        </w:rPr>
        <w:t xml:space="preserve">CLASSIFICATION — FOR INFORMATION PURPOSES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REPORT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REPORT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Analytical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REPORT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01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Cover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02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Report Framework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03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Executive View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04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Source Coverage &amp; Macro Backdrop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05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Cross-Asset Intelligence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06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Institutional Consensus &amp; Divergences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07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Institutional View Changes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08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Market Narrative Shift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09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Monitor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10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Qualitative Signals &amp; Reliability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4f"/>
          <w:sz w:val="16"/>
          <w:szCs w:val="16"/>
          <w:rtl w:val="0"/>
        </w:rPr>
        <w:t xml:space="preserve">11   </w:t>
      </w:r>
      <w:r w:rsidDel="00000000" w:rsidR="00000000" w:rsidRPr="00000000">
        <w:rPr>
          <w:rFonts w:ascii="Arial" w:cs="Arial" w:eastAsia="Arial" w:hAnsi="Arial"/>
          <w:color w:val="2d2926"/>
          <w:sz w:val="16"/>
          <w:szCs w:val="16"/>
          <w:rtl w:val="0"/>
        </w:rPr>
        <w:t xml:space="preserve">Important Information &amp; Methodology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6"/>
          <w:szCs w:val="16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This brief is organised around three complementary analytical layers, each addressing a distinct question relevant to institutional asset allocation and investment committee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00965a" w:space="0" w:sz="16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4f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9"/>
                <w:szCs w:val="19"/>
                <w:rtl w:val="0"/>
              </w:rPr>
              <w:t xml:space="preserve">MARKET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6"/>
                <w:szCs w:val="16"/>
                <w:rtl w:val="0"/>
              </w:rPr>
              <w:t xml:space="preserve">Macro &amp; Market Backdrop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00965a" w:space="0" w:sz="16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4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9"/>
                <w:szCs w:val="19"/>
                <w:rtl w:val="0"/>
              </w:rPr>
              <w:t xml:space="preserve">INSTITUTIONAL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6"/>
                <w:szCs w:val="16"/>
                <w:rtl w:val="0"/>
              </w:rPr>
              <w:t xml:space="preserve">Private Banking, Wealth Management and Asset Manager 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00965a" w:space="0" w:sz="16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4f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9"/>
                <w:szCs w:val="19"/>
                <w:rtl w:val="0"/>
              </w:rPr>
              <w:t xml:space="preserve">INVESTMENT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6"/>
                <w:szCs w:val="16"/>
                <w:rtl w:val="0"/>
              </w:rPr>
              <w:t xml:space="preserve">Consensus, Divergences, Narrative Shifts and Risk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EXECUTIVE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Headline conclusions, market intelligence implications and the week's most decision-relevant developments.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965a" w:space="1" w:sz="8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8"/>
        <w:tblGridChange w:id="0">
          <w:tblGrid>
            <w:gridCol w:w="2256"/>
            <w:gridCol w:w="2256"/>
            <w:gridCol w:w="2256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RISK 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{{risk_tone}}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MARKET REGIME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{{market_regime}}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CONVICTION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{{conviction_level}}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TIME HORIZON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{{time_horizon}}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MOST NOTABLE INSTITUTIONAL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{{headline_institutional_change}}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WHY IT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{{headline_change_implication}}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INVESTMENT INTELLIGENCE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{{executive_summary}}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900"/>
        <w:gridCol w:w="3826"/>
        <w:tblGridChange w:id="0">
          <w:tblGrid>
            <w:gridCol w:w="1300"/>
            <w:gridCol w:w="39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MARKET INTELLIGENCE TAKEAWAY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MONITORING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{{key_takeaway_1}}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{{implication_1}}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{{key_takeaway_2}}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{{implication_2}}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{{key_takeaway_3}}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{{implication_3}}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WHAT WOULD CHANGE THE 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{{view_change_conditions}}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01 — MARKET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SOURCE COVERAGE &amp; MACRO BACKDROP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Transparency on the institutions and publications consulted, and the macro backdrop shaping this week's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00965a" w:space="1" w:sz="8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8"/>
        <w:tblGridChange w:id="0">
          <w:tblGrid>
            <w:gridCol w:w="2256"/>
            <w:gridCol w:w="2256"/>
            <w:gridCol w:w="2256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SOURCES REVIEWED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{{source_count}}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INSTITUTIONS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{{institution_count}}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PRIMARY 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{{primary_share}}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COVERAGE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{{coverage_score}}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TOP SOURCES USED THIS WEEK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00"/>
        <w:gridCol w:w="1400"/>
        <w:gridCol w:w="1226"/>
        <w:tblGridChange w:id="0">
          <w:tblGrid>
            <w:gridCol w:w="3000"/>
            <w:gridCol w:w="3400"/>
            <w:gridCol w:w="1400"/>
            <w:gridCol w:w="1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INSTITUTION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{{institution_1}}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{{publication_1}}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{{date_1}}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{{status_1}}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{{institution_2}}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{{publication_2}}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{{date_2}}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{{status_2}}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{{institution_3}}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{{publication_3}}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{{date_3}}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{{status_3}}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{{institution_4}}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{{publication_4}}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{{date_4}}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{{status_4}}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{{institution_5}}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{{publication_5}}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{{date_5}}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{{status_5}}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{{institution_6}}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{{publication_6}}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{{date_6}}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{{status_6}}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MACRO &amp; MARKET BACKDROP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{{macro_backdrop}}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02 — INSTITUTIONAL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CROSS-ASSET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A structured view of direction, conviction, supporting institutions and key catalysts across major asset classes.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1200"/>
        <w:gridCol w:w="2400"/>
        <w:gridCol w:w="2626"/>
        <w:tblGridChange w:id="0">
          <w:tblGrid>
            <w:gridCol w:w="1400"/>
            <w:gridCol w:w="1400"/>
            <w:gridCol w:w="1200"/>
            <w:gridCol w:w="24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ASSET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CONVICTION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KEY CATALYST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Equities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{{equities_view}}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{{equities_conviction}}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{{equities_institutions}}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{{equities_catalyst}}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Fixed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{{rates_view}}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{{rates_conviction}}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{{rates_institutions}}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{{rates_catalyst}}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{{credit_view}}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{{credit_conviction}}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{{credit_institutions}}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{{credit_catalyst}}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{{fx_view}}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{{fx_conviction}}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{{fx_institutions}}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{{fx_catalyst}}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Commodities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{{commodities_view}}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{{commodities_conviction}}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{{commodities_institutions}}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{{commodities_catalyst}}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5"/>
          <w:szCs w:val="15"/>
          <w:rtl w:val="0"/>
        </w:rPr>
        <w:t xml:space="preserve">Fixed Income refers to sovereign duration and rates positioning; Credit is tracked separately for spread and issuer-level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CROSS-ASSET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{{cross_asset_views}}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01 — INSTITUTIONAL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INSTITUTIONAL CONSENSUS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Where major investment houses align, and how strong that alignment appears.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00965a" w:space="1" w:sz="8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STRONGEST CONSENSUS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{{strongest_consensus}}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CONSENSUS BREADTH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{{consensus_breadth}}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CONSENSUS TREND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{{consensus_trend}}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{{consensus_theme_1}}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9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6"/>
          <w:szCs w:val="16"/>
          <w:rtl w:val="0"/>
        </w:rPr>
        <w:t xml:space="preserve">Supported by {{aligned_institutions_1}} · Strength: {{strength_1}}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{{consensus_analysis_1}}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{{consensus_implication_1}}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{{consensus_theme_2}}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9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6"/>
          <w:szCs w:val="16"/>
          <w:rtl w:val="0"/>
        </w:rPr>
        <w:t xml:space="preserve">Supported by {{aligned_institutions_2}} · Strength: {{strength_2}}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{{consensus_analysis_2}}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Why it matters: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{{consensus_implication_2}}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9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6"/>
          <w:szCs w:val="16"/>
          <w:rtl w:val="0"/>
        </w:rPr>
        <w:t xml:space="preserve">{{additional_consensus}}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INSTITUTIONAL DIVERGENCES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{{divergence_topic_1}}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9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6"/>
          <w:szCs w:val="16"/>
          <w:rtl w:val="0"/>
        </w:rPr>
        <w:t xml:space="preserve">{{institution_a_view_1}} vs. {{institution_b_view_1}}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{{divergence_analysis_1}}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Why the divergence matters: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{{divergence_implication_1}}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{{divergence_topic_2}}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9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6"/>
          <w:szCs w:val="16"/>
          <w:rtl w:val="0"/>
        </w:rPr>
        <w:t xml:space="preserve">{{institution_a_view_2}} vs. {{institution_b_view_2}}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{{divergence_analysis_2}}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Why the divergence matters: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{{divergence_implication_2}}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01 — INSTITUTIONAL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INSTITUTIONAL VIEW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Tracking material changes in institutional positioning, conviction and rationale across successive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00965a" w:space="1" w:sz="8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PREVIOUS 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{{previous_report_date}}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CURRENT 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{{current_report_date}}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INSTITUTIONS COMPARED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{{institutions_compared}}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MATERIAL CHANGES DETECTED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{{material_change_count}}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{{change_institution_1}} — {{change_topic_1}}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7"/>
          <w:szCs w:val="17"/>
          <w:rtl w:val="0"/>
        </w:rPr>
        <w:t xml:space="preserve">{{previous_view_1}}</w:t>
      </w:r>
      <w:sdt>
        <w:sdtPr>
          <w:id w:val="-1707844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965a"/>
              <w:sz w:val="17"/>
              <w:szCs w:val="17"/>
              <w:rtl w:val="0"/>
            </w:rPr>
            <w:t xml:space="preserve">   → 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7"/>
          <w:szCs w:val="17"/>
          <w:rtl w:val="0"/>
        </w:rPr>
        <w:t xml:space="preserve">{{current_view_1}}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Change: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{{change_type_1}}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{{change_analysis_1}}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Monitoring implication: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{{change_monitoring_1}}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Source comparison: </w:t>
      </w:r>
      <w:sdt>
        <w:sdtPr>
          <w:id w:val="18563344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926"/>
              <w:sz w:val="18"/>
              <w:szCs w:val="18"/>
              <w:rtl w:val="0"/>
            </w:rPr>
            <w:t xml:space="preserve">{{previous_source_1}} → {{current_source_1}}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{{change_institution_2}} — {{change_topic_2}}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7"/>
          <w:szCs w:val="17"/>
          <w:rtl w:val="0"/>
        </w:rPr>
        <w:t xml:space="preserve">{{previous_view_2}}</w:t>
      </w:r>
      <w:sdt>
        <w:sdtPr>
          <w:id w:val="4224093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965a"/>
              <w:sz w:val="17"/>
              <w:szCs w:val="17"/>
              <w:rtl w:val="0"/>
            </w:rPr>
            <w:t xml:space="preserve">   → 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7"/>
          <w:szCs w:val="17"/>
          <w:rtl w:val="0"/>
        </w:rPr>
        <w:t xml:space="preserve">{{current_view_2}}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Change: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{{change_type_2}}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{{change_analysis_2}}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Monitoring implication: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{{change_monitoring_2}}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Source comparison: </w:t>
      </w:r>
      <w:sdt>
        <w:sdtPr>
          <w:id w:val="19346674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926"/>
              <w:sz w:val="18"/>
              <w:szCs w:val="18"/>
              <w:rtl w:val="0"/>
            </w:rPr>
            <w:t xml:space="preserve">{{previous_source_2}} → {{current_source_2}}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{{change_institution_3}} — {{change_topic_3}}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7"/>
          <w:szCs w:val="17"/>
          <w:rtl w:val="0"/>
        </w:rPr>
        <w:t xml:space="preserve">{{previous_view_3}}</w:t>
      </w:r>
      <w:sdt>
        <w:sdtPr>
          <w:id w:val="17813295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965a"/>
              <w:sz w:val="17"/>
              <w:szCs w:val="17"/>
              <w:rtl w:val="0"/>
            </w:rPr>
            <w:t xml:space="preserve">   → 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7"/>
          <w:szCs w:val="17"/>
          <w:rtl w:val="0"/>
        </w:rPr>
        <w:t xml:space="preserve">{{current_view_3}}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Change: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{{change_type_3}}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{{change_analysis_3}}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Monitoring implication: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{{change_monitoring_3}}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Source comparison: </w:t>
      </w:r>
      <w:sdt>
        <w:sdtPr>
          <w:id w:val="10053704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926"/>
              <w:sz w:val="18"/>
              <w:szCs w:val="18"/>
              <w:rtl w:val="0"/>
            </w:rPr>
            <w:t xml:space="preserve">{{previous_source_3}} → {{current_source_3}}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02 — INVESTMENT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MARKET NARRATIVE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How the collective market narrative — not any single institution's view — is evolving versus the prior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{{narrative_1}} — {{direction_1}}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{{narrative_analysis_1}}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Evidence and monitoring: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{{narrative_evidence_monitoring_1}}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{{narrative_2}} — {{direction_2}}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{{narrative_analysis_2}}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Evidence and monitoring: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{{narrative_evidence_monitoring_2}}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9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6"/>
          <w:szCs w:val="16"/>
          <w:rtl w:val="0"/>
        </w:rPr>
        <w:t xml:space="preserve">{{additional_narrative_shift}}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02 — INVESTMENT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RISK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A concise risk register combining probability, impact, direction and observable triggers.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300"/>
        <w:gridCol w:w="1300"/>
        <w:gridCol w:w="1300"/>
        <w:gridCol w:w="2926"/>
        <w:tblGridChange w:id="0">
          <w:tblGrid>
            <w:gridCol w:w="2200"/>
            <w:gridCol w:w="1300"/>
            <w:gridCol w:w="1300"/>
            <w:gridCol w:w="130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TRIGGER /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{{risk_1}}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{{probability_1}}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{{impact_1}}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{{trend_1}}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{{trigger_1}}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{{risk_2}}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{{probability_2}}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{{impact_2}}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{{trend_2}}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{{trigger_2}}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{{risk_3}}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{{probability_3}}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{{impact_3}}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{{trend_3}}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{{trigger_3}}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{{risk_4}}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{{probability_4}}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{{impact_4}}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{{trend_4}}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{{trigger_4}}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RISK COMMENTARY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{{risk_dashboard}}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NEXT MONITORING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1. {{monitoring_priority_1}}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2. {{monitoring_priority_2}}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3. {{monitoring_priority_3}}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SECTION 02 — INVESTMENT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QUALITATIVE SIGNALS &amp;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9"/>
          <w:szCs w:val="19"/>
          <w:rtl w:val="0"/>
        </w:rPr>
        <w:t xml:space="preserve">Secondary market signals, and how much confidence to place in this week's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QUALITATIVE CIO / STRATEGIST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{{speaker_1}}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{{signal_1}}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Tone and relevance: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{{signal_interpretation_1}}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00965a" w:space="8" w:sz="12" w:val="single"/>
        </w:pBdr>
        <w:spacing w:after="50" w:before="200" w:lineRule="auto"/>
        <w:ind w:left="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9"/>
          <w:szCs w:val="19"/>
          <w:rtl w:val="0"/>
        </w:rPr>
        <w:t xml:space="preserve">{{speaker_2}}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{{signal_2}}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40" w:line="270" w:lineRule="auto"/>
        <w:ind w:left="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Tone and relevance: </w:t>
      </w: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{{signal_interpretation_2}}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RELIABILITY ASSESSMENT &amp;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bottom w:color="00965a" w:space="1" w:sz="8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10"/>
        <w:tblGridChange w:id="0">
          <w:tblGrid>
            <w:gridCol w:w="3008"/>
            <w:gridCol w:w="3008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RELIABILITY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{{reliability_score}}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DATA FRESHNESS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{{data_freshness}}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684"/>
                <w:sz w:val="13"/>
                <w:szCs w:val="13"/>
                <w:rtl w:val="0"/>
              </w:rPr>
              <w:t xml:space="preserve">KNOWN GAPS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8"/>
                <w:szCs w:val="18"/>
                <w:rtl w:val="0"/>
              </w:rPr>
              <w:t xml:space="preserve">{{known_gap_count}}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{{reliability_assessment}}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{{reliability_limitations}}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3"/>
          <w:szCs w:val="13"/>
          <w:rtl w:val="0"/>
        </w:rPr>
        <w:t xml:space="preserve">DATA AS AT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3"/>
          <w:szCs w:val="13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bottom w:color="00965a" w:space="4" w:sz="4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16"/>
          <w:szCs w:val="16"/>
          <w:rtl w:val="0"/>
        </w:rPr>
        <w:t xml:space="preserve">METHODOLOGY &amp; DOCUMENT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081f35" w:space="6" w:sz="4" w:val="single"/>
        </w:pBdr>
        <w:spacing w:after="1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34"/>
          <w:szCs w:val="34"/>
          <w:rtl w:val="0"/>
        </w:rPr>
        <w:t xml:space="preserve">IMPORTANT INFORMATION &amp;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DISCLAIMER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This document is produced for market intelligence and academic portfolio demonstration purposes only. It is based on public and legally accessible information and does not constitute investment advice, a recommendation, a solicitation, a price target or a trading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METHODOLOGY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{{methodology_note}}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684"/>
          <w:sz w:val="15"/>
          <w:szCs w:val="15"/>
          <w:rtl w:val="0"/>
        </w:rPr>
        <w:t xml:space="preserve">Views and scores are generated through controlled taxonomies and explicit source-quality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PRODUCTION WORKFLOW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5"/>
        <w:gridCol w:w="1805"/>
        <w:gridCol w:w="1805"/>
        <w:gridCol w:w="1805"/>
        <w:gridCol w:w="1806"/>
        <w:tblGridChange w:id="0">
          <w:tblGrid>
            <w:gridCol w:w="1805"/>
            <w:gridCol w:w="1805"/>
            <w:gridCol w:w="1805"/>
            <w:gridCol w:w="1805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965a" w:space="0" w:sz="12" w:val="single"/>
              <w:left w:color="000000" w:space="0" w:sz="0" w:val="nil"/>
              <w:bottom w:color="000000" w:space="0" w:sz="0" w:val="nil"/>
              <w:right w:color="d9dee5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4"/>
                <w:szCs w:val="14"/>
                <w:rtl w:val="0"/>
              </w:rPr>
              <w:t xml:space="preserve">FIXED SOURCE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4"/>
                <w:szCs w:val="14"/>
                <w:rtl w:val="0"/>
              </w:rPr>
              <w:t xml:space="preserve">Standing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65a" w:space="0" w:sz="12" w:val="single"/>
              <w:left w:color="000000" w:space="0" w:sz="0" w:val="nil"/>
              <w:bottom w:color="000000" w:space="0" w:sz="0" w:val="nil"/>
              <w:right w:color="d9dee5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4"/>
                <w:szCs w:val="14"/>
                <w:rtl w:val="0"/>
              </w:rPr>
              <w:t xml:space="preserve">SOURCE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4"/>
                <w:szCs w:val="14"/>
                <w:rtl w:val="0"/>
              </w:rPr>
              <w:t xml:space="preserve">Fri.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65a" w:space="0" w:sz="12" w:val="single"/>
              <w:left w:color="000000" w:space="0" w:sz="0" w:val="nil"/>
              <w:bottom w:color="000000" w:space="0" w:sz="0" w:val="nil"/>
              <w:right w:color="d9dee5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4"/>
                <w:szCs w:val="14"/>
                <w:rtl w:val="0"/>
              </w:rPr>
              <w:t xml:space="preserve">STRUCTURED SYNTHESIS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4"/>
                <w:szCs w:val="14"/>
                <w:rtl w:val="0"/>
              </w:rPr>
              <w:t xml:space="preserve">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65a" w:space="0" w:sz="12" w:val="single"/>
              <w:left w:color="000000" w:space="0" w:sz="0" w:val="nil"/>
              <w:bottom w:color="000000" w:space="0" w:sz="0" w:val="nil"/>
              <w:right w:color="d9dee5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4"/>
                <w:szCs w:val="14"/>
                <w:rtl w:val="0"/>
              </w:rPr>
              <w:t xml:space="preserve">RELIABILITY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4"/>
                <w:szCs w:val="14"/>
                <w:rtl w:val="0"/>
              </w:rPr>
              <w:t xml:space="preserve">Sun. evening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65a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1f35"/>
                <w:sz w:val="14"/>
                <w:szCs w:val="14"/>
                <w:rtl w:val="0"/>
              </w:rPr>
              <w:t xml:space="preserve">WEEKLY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684"/>
                <w:sz w:val="14"/>
                <w:szCs w:val="14"/>
                <w:rtl w:val="0"/>
              </w:rPr>
              <w:t xml:space="preserve">Mon. 07:00 CET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9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18"/>
          <w:szCs w:val="18"/>
          <w:rtl w:val="0"/>
        </w:rPr>
        <w:t xml:space="preserve">SOURCE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d2926"/>
          <w:sz w:val="18"/>
          <w:szCs w:val="18"/>
          <w:rtl w:val="0"/>
        </w:rPr>
        <w:t xml:space="preserve">Full source-level detail (institution, publication, date and access status) is maintained in Source Coverage on page 4 of this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bottom w:color="d9dee5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65a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1f35"/>
          <w:sz w:val="20"/>
          <w:szCs w:val="20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081f3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Week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{{week_covered}}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Run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{{run_date}}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{{prepared_by}}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{{version}}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5" w:space="0" w:sz="4" w:val="single"/>
              <w:left w:color="d9dee5" w:space="0" w:sz="4" w:val="single"/>
              <w:bottom w:color="d9dee5" w:space="0" w:sz="4" w:val="single"/>
              <w:right w:color="d9dee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926"/>
                <w:sz w:val="15"/>
                <w:szCs w:val="15"/>
                <w:rtl w:val="0"/>
              </w:rPr>
              <w:t xml:space="preserve">{{distribution_list}}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d9dee5" w:space="10" w:sz="4" w:val="single"/>
        </w:pBdr>
        <w:spacing w:before="0" w:lineRule="auto"/>
        <w:rPr/>
      </w:pPr>
      <w:r w:rsidDel="00000000" w:rsidR="00000000" w:rsidRPr="00000000">
        <w:rPr>
          <w:rFonts w:ascii="Arial" w:cs="Arial" w:eastAsia="Arial" w:hAnsi="Arial"/>
          <w:color w:val="6b7684"/>
          <w:sz w:val="14"/>
          <w:szCs w:val="14"/>
          <w:rtl w:val="0"/>
        </w:rPr>
        <w:t xml:space="preserve">Prepared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4"/>
          <w:szCs w:val="14"/>
          <w:rtl w:val="0"/>
        </w:rPr>
        <w:t xml:space="preserve">{{prepared_by}}</w:t>
      </w:r>
      <w:r w:rsidDel="00000000" w:rsidR="00000000" w:rsidRPr="00000000">
        <w:rPr>
          <w:rFonts w:ascii="Arial" w:cs="Arial" w:eastAsia="Arial" w:hAnsi="Arial"/>
          <w:color w:val="6b7684"/>
          <w:sz w:val="14"/>
          <w:szCs w:val="14"/>
          <w:rtl w:val="0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b7684"/>
          <w:sz w:val="14"/>
          <w:szCs w:val="14"/>
          <w:rtl w:val="0"/>
        </w:rPr>
        <w:t xml:space="preserve">{{run_date}}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Bdr>
        <w:top w:color="d9dee5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7684"/>
        <w:sz w:val="13"/>
        <w:szCs w:val="13"/>
        <w:rtl w:val="0"/>
      </w:rPr>
      <w:t xml:space="preserve">MARKET INTELLIGENCE BRIEF | FOR INFORMATION PURPOSES ONLY</w:t>
      <w:tab/>
      <w:t xml:space="preserve">PAGE </w:t>
    </w:r>
    <w:r w:rsidDel="00000000" w:rsidR="00000000" w:rsidRPr="00000000">
      <w:rPr>
        <w:rFonts w:ascii="Arial" w:cs="Arial" w:eastAsia="Arial" w:hAnsi="Arial"/>
        <w:color w:val="6b7684"/>
        <w:sz w:val="13"/>
        <w:szCs w:val="1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081f35"/>
        <w:sz w:val="13"/>
        <w:szCs w:val="13"/>
        <w:rtl w:val="0"/>
      </w:rPr>
      <w:t xml:space="preserve">GLOBAL INVESTMENT VIEWS MONITOR</w:t>
      <w:tab/>
    </w:r>
    <w:r w:rsidDel="00000000" w:rsidR="00000000" w:rsidRPr="00000000">
      <w:rPr>
        <w:rFonts w:ascii="Arial" w:cs="Arial" w:eastAsia="Arial" w:hAnsi="Arial"/>
        <w:color w:val="6b7684"/>
        <w:sz w:val="13"/>
        <w:szCs w:val="13"/>
        <w:rtl w:val="0"/>
      </w:rPr>
      <w:t xml:space="preserve">WEEKLY MARKET INTELLIGENCE BRIEF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926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92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5j3j0/rGqH7fG/zWyBgowfh3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XZUYmp6UlFBYVdYRmJSTmNlVkVrUmVHVlRGOHdlbG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