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i w:val="0"/>
          <w:color w:val="6C7572"/>
          <w:sz w:val="16"/>
        </w:rPr>
        <w:t>AVISO AUTOMÁTICO DE TU ASESOR</w:t>
      </w:r>
    </w:p>
    <w:p>
      <w:r>
        <w:rPr>
          <w:rFonts w:ascii="Calibri" w:hAnsi="Calibri"/>
          <w:b w:val="0"/>
          <w:i w:val="0"/>
          <w:sz w:val="22"/>
        </w:rPr>
        <w:t xml:space="preserve">Hola </w:t>
      </w:r>
      <w:fldSimple w:instr=" MERGEFIELD Nombre ">
        <w:r>
          <w:t>«Nombre»</w:t>
        </w:r>
      </w:fldSimple>
      <w:r>
        <w:rPr>
          <w:rFonts w:ascii="Calibri" w:hAnsi="Calibri"/>
          <w:b w:val="0"/>
          <w:i w:val="0"/>
          <w:sz w:val="22"/>
        </w:rPr>
        <w:t>,</w:t>
      </w:r>
    </w:p>
    <w:p>
      <w:r>
        <w:rPr>
          <w:rFonts w:ascii="Calibri" w:hAnsi="Calibri"/>
          <w:b w:val="0"/>
          <w:i w:val="0"/>
          <w:sz w:val="22"/>
        </w:rPr>
        <w:t xml:space="preserve">Reviso periódicamente las cuentas que asesoro y hoy veo que en la tuya figuran </w:t>
      </w:r>
      <w:fldSimple w:instr=" MERGEFIELD MontoTexto ">
        <w:r>
          <w:rPr>
            <w:b/>
          </w:rPr>
          <w:t>«MontoTexto»</w:t>
        </w:r>
      </w:fldSimple>
      <w:r>
        <w:rPr>
          <w:rFonts w:ascii="Calibri" w:hAnsi="Calibri"/>
          <w:b w:val="0"/>
          <w:i w:val="0"/>
          <w:sz w:val="22"/>
        </w:rPr>
        <w:t xml:space="preserve"> sin invertir.</w:t>
      </w:r>
    </w:p>
    <w:p>
      <w:r>
        <w:t>Ese dinero, quieto en la cuenta, no genera ninguna renta. Colocarlo lleva menos de un minuto, incluso si lo vas a necesitar pronto.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40"/>
      </w:tblGrid>
      <w:tr>
        <w:tc>
          <w:tcPr>
            <w:tcW w:type="dxa" w:w="10040"/>
            <w:shd w:val="clear" w:color="auto" w:fill="EAF6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140"/>
                <w:sz w:val="24"/>
              </w:rPr>
              <w:t>Lo más simple para arrancar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Un fondo money market: empieza a rendir desde el primer día, no tiene plazo mínimo y lo rescatás cuando quieras. Ideal para plata que podés llegar a necesitar en cualquier momento.</w:t>
            </w:r>
          </w:p>
          <w:p>
            <w:pPr>
              <w:spacing w:before="80"/>
            </w:pPr>
            <w:hyperlink r:id="rId9">
              <w:r>
                <w:rPr>
                  <w:b/>
                  <w:sz w:val="21"/>
                  <w:color w:val="FFFFFF"/>
                  <w:shd w:val="clear" w:color="auto" w:fill="22A8E0"/>
                </w:rPr>
                <w:t xml:space="preserve">  Colocar en dólares  </w:t>
              </w:r>
            </w:hyperlink>
            <w:r>
              <w:rPr>
                <w:rFonts w:ascii="Calibri" w:hAnsi="Calibri"/>
                <w:b w:val="0"/>
                <w:i w:val="0"/>
                <w:sz w:val="22"/>
              </w:rPr>
              <w:t xml:space="preserve">   </w:t>
            </w:r>
            <w:hyperlink r:id="rId10">
              <w:r>
                <w:rPr>
                  <w:b/>
                  <w:sz w:val="21"/>
                  <w:color w:val="FFFFFF"/>
                  <w:shd w:val="clear" w:color="auto" w:fill="0B2140"/>
                </w:rPr>
                <w:t xml:space="preserve">  Colocar en pesos  </w:t>
              </w:r>
            </w:hyperlink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sz w:val="22"/>
        </w:rPr>
        <w:t>Si podés dejarlo un tiempo y buscás más rendimiento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7"/>
        <w:gridCol w:w="3347"/>
        <w:gridCol w:w="3347"/>
      </w:tblGrid>
      <w:tr>
        <w:tc>
          <w:tcPr>
            <w:tcW w:type="dxa" w:w="3347"/>
            <w:shd w:val="clear" w:color="auto" w:fill="0B21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PLAZO</w:t>
            </w:r>
          </w:p>
        </w:tc>
        <w:tc>
          <w:tcPr>
            <w:tcW w:type="dxa" w:w="3347"/>
            <w:shd w:val="clear" w:color="auto" w:fill="0B21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 DÓLARES</w:t>
            </w:r>
          </w:p>
        </w:tc>
        <w:tc>
          <w:tcPr>
            <w:tcW w:type="dxa" w:w="3347"/>
            <w:shd w:val="clear" w:color="auto" w:fill="0B21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 PESOS</w:t>
            </w:r>
          </w:p>
        </w:tc>
      </w:tr>
      <w:tr>
        <w:tc>
          <w:tcPr>
            <w:tcW w:type="dxa" w:w="3347"/>
          </w:tcPr>
          <w:p>
            <w:r>
              <w:rPr>
                <w:rFonts w:ascii="Calibri" w:hAnsi="Calibri"/>
                <w:b/>
                <w:i w:val="0"/>
                <w:color w:val="0B2140"/>
                <w:sz w:val="20"/>
              </w:rPr>
              <w:t>Corto plazo</w:t>
            </w:r>
          </w:p>
        </w:tc>
        <w:tc>
          <w:tcPr>
            <w:tcW w:type="dxa" w:w="3347"/>
          </w:tcPr>
          <w:p>
            <w:r/>
            <w:hyperlink r:id="rId11">
              <w:r>
                <w:rPr>
                  <w:b/>
                  <w:color w:val="106CB5"/>
                  <w:u w:val="single"/>
                </w:rPr>
                <w:t xml:space="preserve">Ahorro Dólares</w:t>
              </w:r>
            </w:hyperlink>
          </w:p>
        </w:tc>
        <w:tc>
          <w:tcPr>
            <w:tcW w:type="dxa" w:w="3347"/>
          </w:tcPr>
          <w:p>
            <w:r/>
            <w:hyperlink r:id="rId12">
              <w:r>
                <w:rPr>
                  <w:b/>
                  <w:color w:val="106CB5"/>
                  <w:u w:val="single"/>
                </w:rPr>
                <w:t xml:space="preserve">Ahorro Pesos</w:t>
              </w:r>
            </w:hyperlink>
          </w:p>
        </w:tc>
      </w:tr>
      <w:tr>
        <w:tc>
          <w:tcPr>
            <w:tcW w:type="dxa" w:w="3347"/>
          </w:tcPr>
          <w:p>
            <w:r>
              <w:rPr>
                <w:rFonts w:ascii="Calibri" w:hAnsi="Calibri"/>
                <w:b/>
                <w:i w:val="0"/>
                <w:color w:val="0B2140"/>
                <w:sz w:val="20"/>
              </w:rPr>
              <w:t>Mediano plazo</w:t>
            </w:r>
          </w:p>
        </w:tc>
        <w:tc>
          <w:tcPr>
            <w:tcW w:type="dxa" w:w="3347"/>
          </w:tcPr>
          <w:p>
            <w:r/>
            <w:hyperlink r:id="rId13">
              <w:r>
                <w:rPr>
                  <w:b/>
                  <w:color w:val="106CB5"/>
                  <w:u w:val="single"/>
                </w:rPr>
                <w:t xml:space="preserve">Renta Fija USD</w:t>
              </w:r>
            </w:hyperlink>
          </w:p>
        </w:tc>
        <w:tc>
          <w:tcPr>
            <w:tcW w:type="dxa" w:w="3347"/>
          </w:tcPr>
          <w:p>
            <w:r/>
            <w:hyperlink r:id="rId14">
              <w:r>
                <w:rPr>
                  <w:b/>
                  <w:color w:val="106CB5"/>
                  <w:u w:val="single"/>
                </w:rPr>
                <w:t xml:space="preserve">Fondo Institucional</w:t>
              </w:r>
            </w:hyperlink>
          </w:p>
        </w:tc>
      </w:tr>
      <w:tr>
        <w:tc>
          <w:tcPr>
            <w:tcW w:type="dxa" w:w="3347"/>
          </w:tcPr>
          <w:p>
            <w:r>
              <w:rPr>
                <w:rFonts w:ascii="Calibri" w:hAnsi="Calibri"/>
                <w:b/>
                <w:i w:val="0"/>
                <w:color w:val="0B2140"/>
                <w:sz w:val="20"/>
              </w:rPr>
              <w:t>Largo plazo</w:t>
            </w:r>
          </w:p>
        </w:tc>
        <w:tc>
          <w:tcPr>
            <w:tcW w:type="dxa" w:w="3347"/>
          </w:tcPr>
          <w:p>
            <w:r/>
            <w:hyperlink r:id="rId15">
              <w:r>
                <w:rPr>
                  <w:b/>
                  <w:color w:val="106CB5"/>
                  <w:u w:val="single"/>
                </w:rPr>
                <w:t xml:space="preserve">S&amp;P 500 (SPY)</w:t>
              </w:r>
            </w:hyperlink>
          </w:p>
          <w:p>
            <w:hyperlink r:id="rId16">
              <w:r>
                <w:rPr>
                  <w:b/>
                  <w:color w:val="106CB5"/>
                  <w:u w:val="single"/>
                </w:rPr>
                <w:t xml:space="preserve">Pack CEDEARs QUANT</w:t>
              </w:r>
            </w:hyperlink>
          </w:p>
          <w:p>
            <w:r>
              <w:rPr>
                <w:rFonts w:ascii="Calibri" w:hAnsi="Calibri"/>
                <w:b w:val="0"/>
                <w:i w:val="0"/>
                <w:color w:val="6C7572"/>
                <w:sz w:val="16"/>
              </w:rPr>
              <w:t>también se pueden comprar en pesos</w:t>
            </w:r>
          </w:p>
        </w:tc>
        <w:tc>
          <w:tcPr>
            <w:tcW w:type="dxa" w:w="3347"/>
          </w:tcPr>
          <w:p>
            <w:r/>
            <w:hyperlink r:id="rId17">
              <w:r>
                <w:rPr>
                  <w:b/>
                  <w:color w:val="106CB5"/>
                  <w:u w:val="single"/>
                </w:rPr>
                <w:t xml:space="preserve">Acciones Argentinas</w:t>
              </w:r>
            </w:hyperlink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sz w:val="22"/>
        </w:rPr>
        <w:t xml:space="preserve">Para diversificar: </w:t>
      </w:r>
      <w:hyperlink r:id="rId18">
        <w:r>
          <w:rPr>
            <w:color w:val="106CB5"/>
            <w:u w:val="single"/>
          </w:rPr>
          <w:t xml:space="preserve">Oro (GLD)</w:t>
        </w:r>
      </w:hyperlink>
      <w:r>
        <w:rPr>
          <w:rFonts w:ascii="Calibri" w:hAnsi="Calibri"/>
          <w:b w:val="0"/>
          <w:i w:val="0"/>
          <w:sz w:val="22"/>
        </w:rPr>
        <w:t xml:space="preserve">   ·   </w:t>
      </w:r>
      <w:hyperlink r:id="rId19">
        <w:r>
          <w:rPr>
            <w:color w:val="106CB5"/>
            <w:u w:val="single"/>
          </w:rPr>
          <w:t xml:space="preserve">Cripto</w:t>
        </w:r>
      </w:hyperlink>
      <w:r>
        <w:rPr>
          <w:rFonts w:ascii="Calibri" w:hAnsi="Calibri"/>
          <w:b w:val="0"/>
          <w:i w:val="0"/>
          <w:color w:val="6C7572"/>
          <w:sz w:val="20"/>
        </w:rPr>
        <w:t xml:space="preserve"> (muy volátil)</w:t>
      </w:r>
    </w:p>
    <w:p>
      <w:r>
        <w:rPr>
          <w:rFonts w:ascii="Calibri" w:hAnsi="Calibri"/>
          <w:b w:val="0"/>
          <w:i w:val="0"/>
          <w:color w:val="6C7572"/>
          <w:sz w:val="18"/>
        </w:rPr>
        <w:t>Actualización trimestral del Pack QUANT.</w:t>
      </w:r>
    </w:p>
    <w:p>
      <w:pPr>
        <w:spacing w:after="200"/>
      </w:pPr>
      <w:r>
        <w:rPr>
          <w:rFonts w:ascii="Calibri" w:hAnsi="Calibri"/>
          <w:b w:val="0"/>
          <w:i/>
          <w:color w:val="6C7572"/>
          <w:sz w:val="18"/>
        </w:rPr>
        <w:t>Cada nombre es un enlace directo al instrumento en la app de Balanz. Puede que tengas que hacer CTRL+clic para que abra.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40"/>
      </w:tblGrid>
      <w:tr>
        <w:tc>
          <w:tcPr>
            <w:tcW w:type="dxa" w:w="10040"/>
            <w:shd w:val="clear" w:color="auto" w:fill="0B2140"/>
            <w:tcMar>
              <w:top w:w="170" w:type="dxa"/>
              <w:bottom w:w="170" w:type="dxa"/>
              <w:left w:w="200" w:type="dxa"/>
              <w:right w:w="20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¿No sabés cuál te conviene?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Respondé este mail o escribime por WhatsApp al </w:t>
            </w:r>
            <w:fldSimple w:instr=" MERGEFIELD Telefono ">
              <w:r>
                <w:rPr>
                  <w:b/>
                  <w:sz w:val="21"/>
                  <w:color w:val="6CC9EE"/>
                </w:rPr>
                <w:t>«Telefono»</w:t>
              </w:r>
            </w:fldSimple>
          </w:p>
          <w:p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>Lo vemos según tus objetivos y en cuánto tiempo pensás usar ese dinero.</w:t>
            </w:r>
          </w:p>
        </w:tc>
      </w:tr>
    </w:tbl>
    <w:p>
      <w:pPr>
        <w:spacing w:before="240"/>
      </w:pPr>
      <w:r>
        <w:rPr>
          <w:rFonts w:ascii="Calibri" w:hAnsi="Calibri"/>
          <w:b w:val="0"/>
          <w:i w:val="0"/>
          <w:sz w:val="22"/>
        </w:rPr>
        <w:t>Saludos,</w:t>
      </w:r>
    </w:p>
    <w:p>
      <w:pPr>
        <w:spacing w:after="0"/>
      </w:pPr>
      <w:fldSimple w:instr=" MERGEFIELD Asesor ">
        <w:r>
          <w:rPr>
            <w:b/>
          </w:rPr>
          <w:t>«Asesor»</w:t>
        </w:r>
      </w:fldSimple>
    </w:p>
    <w:p>
      <w:pPr>
        <w:spacing w:after="280"/>
      </w:pPr>
      <w:r>
        <w:rPr>
          <w:rFonts w:ascii="Calibri" w:hAnsi="Calibri"/>
          <w:b w:val="0"/>
          <w:i w:val="0"/>
          <w:color w:val="6C7572"/>
          <w:sz w:val="19"/>
        </w:rPr>
        <w:t>Asesor Financiero · Individuos · Balanz</w:t>
      </w:r>
    </w:p>
    <w:p>
      <w:pPr>
        <w:pBdr>
          <w:top w:val="single" w:sz="4" w:space="6" w:color="DDDDDD"/>
        </w:pBdr>
      </w:pPr>
      <w:r>
        <w:rPr>
          <w:rFonts w:ascii="Calibri" w:hAnsi="Calibri"/>
          <w:b w:val="0"/>
          <w:i w:val="0"/>
          <w:color w:val="6C7572"/>
          <w:sz w:val="16"/>
        </w:rPr>
        <w:t xml:space="preserve">Recibís este aviso porque sos cliente asesorado por </w:t>
      </w:r>
      <w:fldSimple w:instr=" MERGEFIELD Asesor ">
        <w:r>
          <w:rPr>
            <w:sz w:val="16"/>
            <w:color w:val="6C7572"/>
          </w:rPr>
          <w:t>«Asesor»</w:t>
        </w:r>
      </w:fldSimple>
      <w:r>
        <w:rPr>
          <w:rFonts w:ascii="Calibri" w:hAnsi="Calibri"/>
          <w:b w:val="0"/>
          <w:i w:val="0"/>
          <w:color w:val="6C7572"/>
          <w:sz w:val="16"/>
        </w:rPr>
        <w:t xml:space="preserve">. Si no querés recibir más estos avisos automáticos, </w:t>
      </w:r>
      <w:hyperlink r:id="rId20">
        <w:r>
          <w:rPr>
            <w:sz w:val="16"/>
            <w:color w:val="106CB5"/>
            <w:u w:val="single"/>
          </w:rPr>
          <w:t xml:space="preserve">date de baja acá</w:t>
        </w:r>
      </w:hyperlink>
      <w:r>
        <w:rPr>
          <w:rFonts w:ascii="Calibri" w:hAnsi="Calibri"/>
          <w:b w:val="0"/>
          <w:i w:val="0"/>
          <w:color w:val="6C7572"/>
          <w:sz w:val="16"/>
        </w:rPr>
        <w:t>.</w:t>
      </w:r>
    </w:p>
    <w:p>
      <w:r>
        <w:rPr>
          <w:rFonts w:ascii="Calibri" w:hAnsi="Calibri"/>
          <w:b w:val="0"/>
          <w:i w:val="0"/>
          <w:color w:val="6C7572"/>
          <w:sz w:val="16"/>
        </w:rPr>
        <w:t xml:space="preserve">Seguime en </w:t>
      </w:r>
      <w:r>
        <w:rPr>
          <w:sz w:val="16"/>
          <w:color w:val="106CB5"/>
          <w:u w:val="single"/>
        </w:rPr>
        <w:fldChar w:fldCharType="begin"/>
      </w:r>
      <w:r>
        <w:rPr>
          <w:sz w:val="16"/>
          <w:color w:val="106CB5"/>
          <w:u w:val="single"/>
        </w:rPr>
        <w:instrText xml:space="preserve"> HYPERLINK "</w:instrText>
      </w:r>
      <w:fldSimple w:instr=" MERGEFIELD Instagram ">
        <w:r>
          <w:rPr>
            <w:sz w:val="16"/>
            <w:color w:val="106CB5"/>
            <w:u w:val="single"/>
          </w:rPr>
          <w:t>«Instagram»</w:t>
        </w:r>
      </w:fldSimple>
      <w:r>
        <w:rPr>
          <w:sz w:val="16"/>
          <w:color w:val="106CB5"/>
          <w:u w:val="single"/>
        </w:rPr>
        <w:instrText xml:space="preserve">" </w:instrText>
      </w:r>
      <w:r>
        <w:rPr>
          <w:sz w:val="16"/>
          <w:color w:val="106CB5"/>
          <w:u w:val="single"/>
        </w:rPr>
        <w:fldChar w:fldCharType="separate"/>
      </w:r>
      <w:r>
        <w:rPr>
          <w:sz w:val="16"/>
          <w:color w:val="106CB5"/>
          <w:u w:val="single"/>
        </w:rPr>
        <w:t xml:space="preserve">Instagram</w:t>
      </w:r>
      <w:r>
        <w:rPr>
          <w:sz w:val="16"/>
          <w:color w:val="106CB5"/>
          <w:u w:val="single"/>
        </w:rPr>
        <w:fldChar w:fldCharType="end"/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ientes.balanz.com/link?data=eyJkYXRhIjp7InJlcXVpZXJlbG9naW4iOiIxIiwibmFtZXNwYWNlIjoiQ29yZS5CdXNpbmVzcy5EZXRhbGxlSW5zdHJ1bWVudG8iLCJ0aWNrZXIiOiJCQ01NVVNEQSIsInBhbmVsIjoiMTAiLCJzaGFyZV9pZCI6IjJhM2NmNzRlLTQxOWQtNGUzMS04NjRkLWFlNzAyMmMxYWVhYyIsImZvbmRvIjoiQkNNTVVTREEifX0=" TargetMode="External"/><Relationship Id="rId10" Type="http://schemas.openxmlformats.org/officeDocument/2006/relationships/hyperlink" Target="https://clientes.balanz.com/link?data=eyJkYXRhIjp7InJlcXVpZXJlbG9naW4iOiIxIiwibmFtZXNwYWNlIjoiQ29yZS5CdXNpbmVzcy5EZXRhbGxlSW5zdHJ1bWVudG8iLCJ0aWNrZXIiOiJCQ01NQSIsInBhbmVsIjoiMTAiLCJpZFBsYXpvIjowLCJzaGFyZV9pZCI6ImFjNTNiMmY3LTU3MGItNGY0Yi1hMmNkLWU5NDg0ZjUyNWE2YiIsImZvbmRvIjoiQkNNTUEifX0=" TargetMode="External"/><Relationship Id="rId11" Type="http://schemas.openxmlformats.org/officeDocument/2006/relationships/hyperlink" Target="https://clientes.balanz.com/link?data=eyJkYXRhIjp7InJlcXVpZXJlbG9naW4iOiIxIiwibmFtZXNwYWNlIjoiQ29yZS5CdXNpbmVzcy5EZXRhbGxlSW5zdHJ1bWVudG8iLCJ0aWNrZXIiOiJFU1RSQTFBIiwicGFuZWwiOiIxMCIsImlkUGxhem8iOjEsInNoYXJlX2lkIjoiNDdjOTUyYzItZDllNi00MTU0LWE1MTUtNzgzNzY3ZDU1M2ZkIiwiZm9uZG8iOiJFU1RSQTFBIn19" TargetMode="External"/><Relationship Id="rId12" Type="http://schemas.openxmlformats.org/officeDocument/2006/relationships/hyperlink" Target="https://clientes.balanz.com/link?data=eyJkYXRhIjp7InJlcXVpZXJlbG9naW4iOiIxIiwibmFtZXNwYWNlIjoiQ29yZS5CdXNpbmVzcy5EZXRhbGxlSW5zdHJ1bWVudG8iLCJ0aWNrZXIiOiJCQ0FIQSIsInBhbmVsIjoiMTAiLCJzaGFyZV9pZCI6ImFiM2ZjYmM1LTBkYzAtNDUzOS04NThjLWM2Nzc0ZjEzMWVmOCIsImZvbmRvIjoiQkNBSEEifX0=" TargetMode="External"/><Relationship Id="rId13" Type="http://schemas.openxmlformats.org/officeDocument/2006/relationships/hyperlink" Target="https://clientes.balanz.com/link?data=eyJkYXRhIjp7InJlcXVpZXJlbG9naW4iOiIxIiwibmFtZXNwYWNlIjoiQ29yZS5CdXNpbmVzcy5EZXRhbGxlSW5zdHJ1bWVudG8iLCJ0aWNrZXIiOiJCQUhVU0RBIiwicGFuZWwiOiIxMCIsImlkUGxhem8iOjEsInNoYXJlX2lkIjoiNDJmZDY0MzMtMmI1Yi00MjNhLWI2ZjktYWJhZTgwNDM4MTcxIiwiZm9uZG8iOiJCQUhVU0RBIn19" TargetMode="External"/><Relationship Id="rId14" Type="http://schemas.openxmlformats.org/officeDocument/2006/relationships/hyperlink" Target="https://clientes.balanz.com/link?data=eyJkYXRhIjp7InJlcXVpZXJlbG9naW4iOiIxIiwibmFtZXNwYWNlIjoiQ29yZS5CdXNpbmVzcy5EZXRhbGxlSW5zdHJ1bWVudG8iLCJ0aWNrZXIiOiJJTlNUSVRVQSIsInBhbmVsIjoiMTAiLCJpZFBsYXpvIjoxLCJzaGFyZV9pZCI6IjM1NTIxOWJkLTczYTktNGFkZi04YTI3LWJkMmZhOTVjYTFiNyIsImZvbmRvIjoiSU5TVElUVUEifX0=" TargetMode="External"/><Relationship Id="rId15" Type="http://schemas.openxmlformats.org/officeDocument/2006/relationships/hyperlink" Target="https://clientes.balanz.com/link?data=eyJkYXRhIjp7InJlcXVpZXJlbG9naW4iOiIxIiwibmFtZXNwYWNlIjoiQ29yZS5CdXNpbmVzcy5EZXRhbGxlSW5zdHJ1bWVudG8iLCJ0aWNrZXIiOiJTUFkiLCJwYW5lbCI6IjciLCJwbGF6byI6IjI0aHMiLCJpZFBsYXpvIjoxLCJzaGFyZV9pZCI6ImVkNDJjYmZiLWQwOGYtNDgzYy04M2JjLTRlZDFmZmU3YjM1NSJ9fQ==" TargetMode="External"/><Relationship Id="rId16" Type="http://schemas.openxmlformats.org/officeDocument/2006/relationships/hyperlink" Target="https://clientes.balanz.com/link?data=eyJkYXRhIjp7InJlcXVpZXJlbG9naW4iOiIxIiwibmFtZXNwYWNlIjoiQ29yZS5CdXNpbmVzcy5EZXRhbGxlUGFjayIsInRpY2tlciI6IlBBQ0stIFFVQU5UIHwgUGVzb3MgQ0VERUFSIiwicGFuZWwiOiIzOCIsInBsYXpvIjoiMjRocyIsImlkUGxhem8iOjEsInNoYXJlX2lkIjoiMzQ2NzY5MzktZjg2Yy00NjYwLWJhYzItMzA1YWZlOGVmN2VkIiwiZGV0YWxsZVBhY2siOiJQQUNLLSBRVUFOVCB8IFBlc29zIENFREVBUiJ9fQ==" TargetMode="External"/><Relationship Id="rId17" Type="http://schemas.openxmlformats.org/officeDocument/2006/relationships/hyperlink" Target="https://clientes.balanz.com/link?data=eyJkYXRhIjp7InJlcXVpZXJlbG9naW4iOiIxIiwibmFtZXNwYWNlIjoiQ29yZS5CdXNpbmVzcy5EZXRhbGxlSW5zdHJ1bWVudG8iLCJ0aWNrZXIiOiJCQ0FDQ0EiLCJwYW5lbCI6IjEwIiwic2hhcmVfaWQiOiJiYjA3NWY1MC04NzU1LTQ3ZjItYTQ3My1lMWFkOTZhZGViMmUiLCJmb25kbyI6IkJDQUNDQSJ9fQ==" TargetMode="External"/><Relationship Id="rId18" Type="http://schemas.openxmlformats.org/officeDocument/2006/relationships/hyperlink" Target="https://clientes.balanz.com/link?data=eyJkYXRhIjp7InJlcXVpZXJlbG9naW4iOiIxIiwibmFtZXNwYWNlIjoiQ29yZS5CdXNpbmVzcy5EZXRhbGxlSW5zdHJ1bWVudG8iLCJ0aWNrZXIiOiJHTEQiLCJwYW5lbCI6IjciLCJwbGF6byI6IjI0aHMiLCJpZFBsYXpvIjoxLCJzaGFyZV9pZCI6ImIzYmFiMWE0LWQ5ZDAtNDBlNi04MDcyLWIzMjE5OWM2MzRlMiJ9fQ==" TargetMode="External"/><Relationship Id="rId19" Type="http://schemas.openxmlformats.org/officeDocument/2006/relationships/hyperlink" Target="https://clientes.balanz.com/link?data=eyJkYXRhIjp7InJlcXVpZXJlbG9naW4iOiIxIiwibmFtZXNwYWNlIjoiQ29yZS5CdXNpbmVzcy5EZXRhbGxlUGFjayIsInRpY2tlciI6IkNyeXB0b3wgUGVzb3MgQ0VERUFSIiwicGFuZWwiOiIzOCIsInBsYXpvIjoiMjRocyIsImlkUGxhem8iOjEsInNoYXJlX2lkIjoiYjhiNjc3MDctY2NjMi00ZGRiLThkMTgtNzRlNzJmYjdjMTQwIiwiZGV0YWxsZVBhY2siOiJDcnlwdG98IFBlc29zIENFREVBUiJ9fQ==" TargetMode="External"/><Relationship Id="rId20" Type="http://schemas.openxmlformats.org/officeDocument/2006/relationships/hyperlink" Target="https://suit-fcn.vercel.app/unsubscrib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