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F"/>
          <w:sz w:val="48"/>
          <w:szCs w:val="48"/>
        </w:rPr>
        <w:t xml:space="preserve">Finanz-Ritual</w:t>
      </w:r>
    </w:p>
    <w:p>
      <w:pPr>
        <w:spacing w:after="60"/>
      </w:pPr>
      <w:r>
        <w:rPr>
          <w:color w:val="444444"/>
          <w:sz w:val="28"/>
          <w:szCs w:val="28"/>
        </w:rPr>
        <w:t xml:space="preserve">Konzept &amp; Ablaufplan: Teaser-Kampagne vor Blog-Launch</w:t>
      </w:r>
    </w:p>
    <w:p>
      <w:pPr>
        <w:spacing w:after="300"/>
      </w:pPr>
      <w:r>
        <w:rPr>
          <w:i/>
          <w:iCs/>
          <w:color w:val="777777"/>
          <w:sz w:val="20"/>
          <w:szCs w:val="20"/>
        </w:rPr>
        <w:t xml:space="preserve">Reichweiten-Extender ohne aktuelle Monetarisierungsabsicht  ·  Stand: 17.08.2026</w:t>
      </w:r>
    </w:p>
    <w:p>
      <w:pPr>
        <w:pStyle w:val="Heading1"/>
        <w:spacing w:after="150" w:before="300"/>
      </w:pPr>
      <w:r>
        <w:t xml:space="preserve">1. Ausgangslage</w:t>
      </w:r>
    </w:p>
    <w:p>
      <w:pPr>
        <w:spacing w:after="120"/>
      </w:pPr>
      <w:r>
        <w:t xml:space="preserve">Die Domain www.finanz-ritual.de gehört Ihnen bereits. Aus steuerlichen Gründen soll der Blog erst am 01.01.2027 live gehen. Ziel dieser Phase: Reichweite und eine E-Mail-Liste aufbauen, bevor die Website selbst sichtbar wird – über vertikale Kurzvideos (Shorts / TikTok / Reels) mit durchgehendem roten Faden ("Hungersteine"-Metapher, 5-teilige Serie).</w:t>
      </w:r>
    </w:p>
    <w:p>
      <w:pPr>
        <w:spacing w:after="120"/>
      </w:pPr>
      <w:r>
        <w:rPr>
          <w:i/>
          <w:iCs/>
          <w:color w:val="555555"/>
        </w:rPr>
        <w:t xml:space="preserve">Wichtig: Dieser Plan ist kein exakter Fahrplan mit Erfolgsgarantie, sondern eine strukturierte Arbeitsgrundlage – Reihenfolge und Timing lassen sich je nach Reaktion der Community anpassen.</w:t>
      </w:r>
    </w:p>
    <w:p>
      <w:pPr>
        <w:pStyle w:val="Heading1"/>
        <w:spacing w:after="150" w:before="300"/>
      </w:pPr>
      <w:r>
        <w:t xml:space="preserve">2. Änderungen gegenüber dem Entwurf</w:t>
      </w:r>
    </w:p>
    <w:p>
      <w:pPr>
        <w:pStyle w:val="ListParagraph"/>
        <w:numPr>
          <w:ilvl w:val="0"/>
          <w:numId w:val="1"/>
        </w:numPr>
        <w:spacing w:after="80"/>
      </w:pPr>
      <w:r>
        <w:rPr>
          <w:b/>
          <w:bCs/>
        </w:rPr>
        <w:t xml:space="preserve">Rheinmetall entfernt: Die Nennung einer namentlich konkreten Einzelaktie wurde aus Teil 1 und Teil 3 gestrichen und durch einen neutralen Platzhalter ersetzt ("eine bestimmte heiß gehandelte Aktie" / "dieser eine Titel, von dem plötzlich jeder redet"). Grund: Vermeidung einer impliziten Anlageempfehlung und Redundanz zwischen zwei Videos.</w:t>
      </w:r>
    </w:p>
    <w:p>
      <w:pPr>
        <w:pStyle w:val="ListParagraph"/>
        <w:numPr>
          <w:ilvl w:val="0"/>
          <w:numId w:val="1"/>
        </w:numPr>
        <w:spacing w:after="80"/>
      </w:pPr>
      <w:r>
        <w:rPr>
          <w:b w:val="false"/>
          <w:bCs w:val="false"/>
        </w:rPr>
        <w:t xml:space="preserve">CTA in allen 5 Teilen vereinheitlicht: Statt "Website besuchen" wird durchgehend auf die Newsletter-Warteliste verwiesen, da die Domain vor dem 01.01.2027 noch keine echte Zielseite zeigt.</w:t>
      </w:r>
    </w:p>
    <w:p>
      <w:pPr>
        <w:pStyle w:val="ListParagraph"/>
        <w:numPr>
          <w:ilvl w:val="0"/>
          <w:numId w:val="1"/>
        </w:numPr>
        <w:spacing w:after="80"/>
      </w:pPr>
      <w:r>
        <w:rPr>
          <w:b w:val="false"/>
          <w:bCs w:val="false"/>
        </w:rPr>
        <w:t xml:space="preserve">Absender-Hinweis: gmx.de-Adresse nur als Übergangslösung; sobald technisch machbar, Umstieg auf eine Adresse unter der eigenen Domain (unabhängig vom Website-Launch möglich).</w:t>
      </w:r>
    </w:p>
    <w:p>
      <w:pPr>
        <w:pStyle w:val="Heading1"/>
        <w:spacing w:after="150" w:before="300"/>
      </w:pPr>
      <w:r>
        <w:t xml:space="preserve">3. Rechtliche Vorbereitung (vor dem ersten Post)</w:t>
      </w:r>
    </w:p>
    <w:p>
      <w:pPr>
        <w:pStyle w:val="ListParagraph"/>
        <w:numPr>
          <w:ilvl w:val="0"/>
          <w:numId w:val="1"/>
        </w:numPr>
        <w:spacing w:after="80"/>
      </w:pPr>
      <w:r>
        <w:rPr>
          <w:b w:val="false"/>
          <w:bCs w:val="false"/>
        </w:rPr>
        <w:t xml:space="preserve">Landingpage benötigt Impressum + Datenschutzerklärung – auch als reine Warteliste.</w:t>
      </w:r>
    </w:p>
    <w:p>
      <w:pPr>
        <w:pStyle w:val="ListParagraph"/>
        <w:numPr>
          <w:ilvl w:val="0"/>
          <w:numId w:val="1"/>
        </w:numPr>
        <w:spacing w:after="80"/>
      </w:pPr>
      <w:r>
        <w:rPr>
          <w:b w:val="false"/>
          <w:bCs w:val="false"/>
        </w:rPr>
        <w:t xml:space="preserve">E-Mail-Sammlung nur mit Double-Opt-in (DSGVO-Pflicht).</w:t>
      </w:r>
    </w:p>
    <w:p>
      <w:pPr>
        <w:pStyle w:val="ListParagraph"/>
        <w:numPr>
          <w:ilvl w:val="0"/>
          <w:numId w:val="1"/>
        </w:numPr>
        <w:spacing w:after="80"/>
      </w:pPr>
      <w:r>
        <w:rPr>
          <w:b w:val="false"/>
          <w:bCs w:val="false"/>
        </w:rPr>
        <w:t xml:space="preserve">Bei Strategie-/Stop-Loss-Inhalten: kurzer Disclaimer in der Videobeschreibung ("keine individuelle Anlageberatung").</w:t>
      </w:r>
    </w:p>
    <w:p>
      <w:pPr>
        <w:pStyle w:val="ListParagraph"/>
        <w:numPr>
          <w:ilvl w:val="0"/>
          <w:numId w:val="1"/>
        </w:numPr>
        <w:spacing w:after="80"/>
      </w:pPr>
      <w:r>
        <w:rPr>
          <w:b w:val="false"/>
          <w:bCs w:val="false"/>
        </w:rPr>
        <w:t xml:space="preserve">Zeitpunkt des Tätigkeitsbeginns aus steuerlicher/gewerberechtlicher Sicht vorab mit Steuerberater klären – Markenaufbau vor dem offiziellen Start kann relevant sein.</w:t>
      </w:r>
    </w:p>
    <w:p>
      <w:pPr>
        <w:pStyle w:val="Heading1"/>
        <w:spacing w:after="150" w:before="300"/>
      </w:pPr>
      <w:r>
        <w:t xml:space="preserve">4. Technisches Setup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4E5F" w:val="clear"/>
            <w:tcMar>
              <w:top w:type="dxa" w:w="80"/>
              <w:left w:type="dxa" w:w="100"/>
              <w:bottom w:type="dxa" w:w="80"/>
              <w:right w:type="dxa" w:w="100"/>
            </w:tcMar>
          </w:tcPr>
          <w:p>
            <w:r>
              <w:rPr>
                <w:b/>
                <w:bCs/>
                <w:color w:val="FFFFFF"/>
                <w:sz w:val="20"/>
                <w:szCs w:val="20"/>
              </w:rPr>
              <w:t xml:space="preserve">Baustein</w:t>
            </w:r>
          </w:p>
        </w:tc>
        <w:tc>
          <w:tcPr>
            <w:tcW w:type="dxa" w:w="6550"/>
            <w:shd w:fill="1F4E5F" w:val="clear"/>
            <w:tcMar>
              <w:top w:type="dxa" w:w="80"/>
              <w:left w:type="dxa" w:w="100"/>
              <w:bottom w:type="dxa" w:w="80"/>
              <w:right w:type="dxa" w:w="100"/>
            </w:tcMar>
          </w:tcPr>
          <w:p>
            <w:r>
              <w:rPr>
                <w:b/>
                <w:bCs/>
                <w:color w:val="FFFFFF"/>
                <w:sz w:val="20"/>
                <w:szCs w:val="20"/>
              </w:rPr>
              <w:t xml:space="preserve">Empfehlung</w:t>
            </w:r>
          </w:p>
        </w:tc>
      </w:tr>
      <w:tr>
        <w:tc>
          <w:tcPr>
            <w:tcW w:type="dxa" w:w="2800"/>
            <w:shd w:fill="EAF1F3" w:val="clear"/>
            <w:tcMar>
              <w:top w:type="dxa" w:w="80"/>
              <w:left w:type="dxa" w:w="100"/>
              <w:bottom w:type="dxa" w:w="80"/>
              <w:right w:type="dxa" w:w="100"/>
            </w:tcMar>
          </w:tcPr>
          <w:p>
            <w:r>
              <w:rPr>
                <w:b w:val="false"/>
                <w:bCs w:val="false"/>
                <w:color w:val="000000"/>
                <w:sz w:val="20"/>
                <w:szCs w:val="20"/>
              </w:rPr>
              <w:t xml:space="preserve">Landingpage</w:t>
            </w:r>
          </w:p>
        </w:tc>
        <w:tc>
          <w:tcPr>
            <w:tcW w:type="dxa" w:w="6550"/>
            <w:tcMar>
              <w:top w:type="dxa" w:w="80"/>
              <w:left w:type="dxa" w:w="100"/>
              <w:bottom w:type="dxa" w:w="80"/>
              <w:right w:type="dxa" w:w="100"/>
            </w:tcMar>
          </w:tcPr>
          <w:p>
            <w:r>
              <w:rPr>
                <w:b w:val="false"/>
                <w:bCs w:val="false"/>
                <w:color w:val="000000"/>
                <w:sz w:val="20"/>
                <w:szCs w:val="20"/>
              </w:rPr>
              <w:t xml:space="preserve">Carrd, Framer oder Subdomain start.finanz-ritual.de mit Coming-Soon-Template</w:t>
            </w:r>
          </w:p>
        </w:tc>
      </w:tr>
      <w:tr>
        <w:tc>
          <w:tcPr>
            <w:tcW w:type="dxa" w:w="2800"/>
            <w:shd w:fill="EAF1F3" w:val="clear"/>
            <w:tcMar>
              <w:top w:type="dxa" w:w="80"/>
              <w:left w:type="dxa" w:w="100"/>
              <w:bottom w:type="dxa" w:w="80"/>
              <w:right w:type="dxa" w:w="100"/>
            </w:tcMar>
          </w:tcPr>
          <w:p>
            <w:r>
              <w:rPr>
                <w:b w:val="false"/>
                <w:bCs w:val="false"/>
                <w:color w:val="000000"/>
                <w:sz w:val="20"/>
                <w:szCs w:val="20"/>
              </w:rPr>
              <w:t xml:space="preserve">Newsletter-Tool</w:t>
            </w:r>
          </w:p>
        </w:tc>
        <w:tc>
          <w:tcPr>
            <w:tcW w:type="dxa" w:w="6550"/>
            <w:tcMar>
              <w:top w:type="dxa" w:w="80"/>
              <w:left w:type="dxa" w:w="100"/>
              <w:bottom w:type="dxa" w:w="80"/>
              <w:right w:type="dxa" w:w="100"/>
            </w:tcMar>
          </w:tcPr>
          <w:p>
            <w:r>
              <w:rPr>
                <w:b w:val="false"/>
                <w:bCs w:val="false"/>
                <w:color w:val="000000"/>
                <w:sz w:val="20"/>
                <w:szCs w:val="20"/>
              </w:rPr>
              <w:t xml:space="preserve">Brevo oder Kit – DSGVO-konform, Double-Opt-in integriert, kostenlos bis ca. 1.000 Kontakte</w:t>
            </w:r>
          </w:p>
        </w:tc>
      </w:tr>
      <w:tr>
        <w:tc>
          <w:tcPr>
            <w:tcW w:type="dxa" w:w="2800"/>
            <w:shd w:fill="EAF1F3" w:val="clear"/>
            <w:tcMar>
              <w:top w:type="dxa" w:w="80"/>
              <w:left w:type="dxa" w:w="100"/>
              <w:bottom w:type="dxa" w:w="80"/>
              <w:right w:type="dxa" w:w="100"/>
            </w:tcMar>
          </w:tcPr>
          <w:p>
            <w:r>
              <w:rPr>
                <w:b w:val="false"/>
                <w:bCs w:val="false"/>
                <w:color w:val="000000"/>
                <w:sz w:val="20"/>
                <w:szCs w:val="20"/>
              </w:rPr>
              <w:t xml:space="preserve">Tracking</w:t>
            </w:r>
          </w:p>
        </w:tc>
        <w:tc>
          <w:tcPr>
            <w:tcW w:type="dxa" w:w="6550"/>
            <w:tcMar>
              <w:top w:type="dxa" w:w="80"/>
              <w:left w:type="dxa" w:w="100"/>
              <w:bottom w:type="dxa" w:w="80"/>
              <w:right w:type="dxa" w:w="100"/>
            </w:tcMar>
          </w:tcPr>
          <w:p>
            <w:r>
              <w:rPr>
                <w:b w:val="false"/>
                <w:bCs w:val="false"/>
                <w:color w:val="000000"/>
                <w:sz w:val="20"/>
                <w:szCs w:val="20"/>
              </w:rPr>
              <w:t xml:space="preserve">Meta- und TikTok-Pixel auf der Landingpage für späteres Retargeting</w:t>
            </w:r>
          </w:p>
        </w:tc>
      </w:tr>
      <w:tr>
        <w:tc>
          <w:tcPr>
            <w:tcW w:type="dxa" w:w="2800"/>
            <w:shd w:fill="EAF1F3" w:val="clear"/>
            <w:tcMar>
              <w:top w:type="dxa" w:w="80"/>
              <w:left w:type="dxa" w:w="100"/>
              <w:bottom w:type="dxa" w:w="80"/>
              <w:right w:type="dxa" w:w="100"/>
            </w:tcMar>
          </w:tcPr>
          <w:p>
            <w:r>
              <w:rPr>
                <w:b w:val="false"/>
                <w:bCs w:val="false"/>
                <w:color w:val="000000"/>
                <w:sz w:val="20"/>
                <w:szCs w:val="20"/>
              </w:rPr>
              <w:t xml:space="preserve">Link in Bio</w:t>
            </w:r>
          </w:p>
        </w:tc>
        <w:tc>
          <w:tcPr>
            <w:tcW w:type="dxa" w:w="6550"/>
            <w:tcMar>
              <w:top w:type="dxa" w:w="80"/>
              <w:left w:type="dxa" w:w="100"/>
              <w:bottom w:type="dxa" w:w="80"/>
              <w:right w:type="dxa" w:w="100"/>
            </w:tcMar>
          </w:tcPr>
          <w:p>
            <w:r>
              <w:rPr>
                <w:b w:val="false"/>
                <w:bCs w:val="false"/>
                <w:color w:val="000000"/>
                <w:sz w:val="20"/>
                <w:szCs w:val="20"/>
              </w:rPr>
              <w:t xml:space="preserve">Linktree oder direkter Link zur Landingpage</w:t>
            </w:r>
          </w:p>
        </w:tc>
      </w:tr>
    </w:tbl>
    <w:p>
      <w:pPr>
        <w:spacing w:after="200"/>
      </w:pPr>
    </w:p>
    <w:p>
      <w:pPr>
        <w:pStyle w:val="Heading1"/>
        <w:spacing w:after="150" w:before="300"/>
      </w:pPr>
      <w:r>
        <w:t xml:space="preserve">5. Zeitplan mit Spannungsbogen</w:t>
      </w:r>
    </w:p>
    <w:p>
      <w:pPr>
        <w:spacing w:after="120"/>
      </w:pPr>
      <w:r>
        <w:t xml:space="preserve">Sechs Wochen Vorlauf bis zum Launch am 01.01.2027 (Start der Kampagne ca. 18.11.2026, kann je nach Wunsch nach hinten oder vorne verschoben werden). Der Bogen führt bewusst von reinem Mehrwert ohne Markenbezug hin zum konkreten CTA.</w:t>
      </w:r>
    </w:p>
    <w:p>
      <w:pPr>
        <w:pStyle w:val="Heading2"/>
        <w:spacing w:after="120" w:before="240"/>
      </w:pPr>
      <w:r>
        <w:t xml:space="preserve">Phase 1 – Teaser (Woche -6 bis -4): Neugier ohne Markenbezug</w:t>
      </w:r>
    </w:p>
    <w:p>
      <w:pPr>
        <w:pStyle w:val="ListParagraph"/>
        <w:numPr>
          <w:ilvl w:val="0"/>
          <w:numId w:val="1"/>
        </w:numPr>
        <w:spacing w:after="80"/>
      </w:pPr>
      <w:r>
        <w:rPr>
          <w:b w:val="false"/>
          <w:bCs w:val="false"/>
        </w:rPr>
        <w:t xml:space="preserve">Teil 1 "Die Hungersteine" und Teil 2 "Die Steinzeit-Formel" ausspielen.</w:t>
      </w:r>
    </w:p>
    <w:p>
      <w:pPr>
        <w:pStyle w:val="ListParagraph"/>
        <w:numPr>
          <w:ilvl w:val="0"/>
          <w:numId w:val="1"/>
        </w:numPr>
        <w:spacing w:after="80"/>
      </w:pPr>
      <w:r>
        <w:rPr>
          <w:b w:val="false"/>
          <w:bCs w:val="false"/>
        </w:rPr>
        <w:t xml:space="preserve">Kein CTA zur Landingpage, reiner Hook + Mehrwert – Marke bewusst noch nicht zeigen.</w:t>
      </w:r>
    </w:p>
    <w:p>
      <w:pPr>
        <w:pStyle w:val="ListParagraph"/>
        <w:numPr>
          <w:ilvl w:val="0"/>
          <w:numId w:val="1"/>
        </w:numPr>
        <w:spacing w:after="80"/>
      </w:pPr>
      <w:r>
        <w:rPr>
          <w:b w:val="false"/>
          <w:bCs w:val="false"/>
        </w:rPr>
        <w:t xml:space="preserve">Ziel: Reichweite und Engagement aufbauen, Algorithmus warmlaufen lassen.</w:t>
      </w:r>
    </w:p>
    <w:p>
      <w:pPr>
        <w:pStyle w:val="Heading2"/>
        <w:spacing w:after="120" w:before="240"/>
      </w:pPr>
      <w:r>
        <w:t xml:space="preserve">Phase 2 – Enthüllung (Woche -4 bis -2): Marke einführen</w:t>
      </w:r>
    </w:p>
    <w:p>
      <w:pPr>
        <w:pStyle w:val="ListParagraph"/>
        <w:numPr>
          <w:ilvl w:val="0"/>
          <w:numId w:val="1"/>
        </w:numPr>
        <w:spacing w:after="80"/>
      </w:pPr>
      <w:r>
        <w:rPr>
          <w:b w:val="false"/>
          <w:bCs w:val="false"/>
        </w:rPr>
        <w:t xml:space="preserve">Teil 3 "Der Hundebesitzer-Indikator" veröffentlichen.</w:t>
      </w:r>
    </w:p>
    <w:p>
      <w:pPr>
        <w:pStyle w:val="ListParagraph"/>
        <w:numPr>
          <w:ilvl w:val="0"/>
          <w:numId w:val="1"/>
        </w:numPr>
        <w:spacing w:after="80"/>
      </w:pPr>
      <w:r>
        <w:rPr>
          <w:b w:val="false"/>
          <w:bCs w:val="false"/>
        </w:rPr>
        <w:t xml:space="preserve">Ab jetzt CTA aktiv: "Trag dich in die Warteliste ein – erfahre als Erster, wenn wir live gehen."</w:t>
      </w:r>
    </w:p>
    <w:p>
      <w:pPr>
        <w:pStyle w:val="ListParagraph"/>
        <w:numPr>
          <w:ilvl w:val="0"/>
          <w:numId w:val="1"/>
        </w:numPr>
        <w:spacing w:after="80"/>
      </w:pPr>
      <w:r>
        <w:rPr>
          <w:b w:val="false"/>
          <w:bCs w:val="false"/>
        </w:rPr>
        <w:t xml:space="preserve">2–3 Posts pro Woche, Format bleibt roh/authentisch statt overproduced.</w:t>
      </w:r>
    </w:p>
    <w:p>
      <w:pPr>
        <w:pStyle w:val="Heading2"/>
        <w:spacing w:after="120" w:before="240"/>
      </w:pPr>
      <w:r>
        <w:t xml:space="preserve">Phase 3 – Aufbau &amp; Vorfreude (Woche -2 bis -1)</w:t>
      </w:r>
    </w:p>
    <w:p>
      <w:pPr>
        <w:pStyle w:val="ListParagraph"/>
        <w:numPr>
          <w:ilvl w:val="0"/>
          <w:numId w:val="1"/>
        </w:numPr>
        <w:spacing w:after="80"/>
      </w:pPr>
      <w:r>
        <w:rPr>
          <w:b w:val="false"/>
          <w:bCs w:val="false"/>
        </w:rPr>
        <w:t xml:space="preserve">Teil 4 "Die Bruchlinien im DAX" veröffentlichen.</w:t>
      </w:r>
    </w:p>
    <w:p>
      <w:pPr>
        <w:pStyle w:val="ListParagraph"/>
        <w:numPr>
          <w:ilvl w:val="0"/>
          <w:numId w:val="1"/>
        </w:numPr>
        <w:spacing w:after="80"/>
      </w:pPr>
      <w:r>
        <w:rPr>
          <w:b w:val="false"/>
          <w:bCs w:val="false"/>
        </w:rPr>
        <w:t xml:space="preserve">Behind-the-Scenes-Content ergänzen; exklusive Vorschau nur für Newsletter-Abonnenten ankündigen.</w:t>
      </w:r>
    </w:p>
    <w:p>
      <w:pPr>
        <w:pStyle w:val="ListParagraph"/>
        <w:numPr>
          <w:ilvl w:val="0"/>
          <w:numId w:val="1"/>
        </w:numPr>
        <w:spacing w:after="80"/>
      </w:pPr>
      <w:r>
        <w:rPr>
          <w:b w:val="false"/>
          <w:bCs w:val="false"/>
        </w:rPr>
        <w:t xml:space="preserve">Community-Fragen sammeln ("Was willst du zuerst wissen?") – liefert Content-Stoff für den Launch.</w:t>
      </w:r>
    </w:p>
    <w:p>
      <w:pPr>
        <w:pStyle w:val="Heading2"/>
        <w:spacing w:after="120" w:before="240"/>
      </w:pPr>
      <w:r>
        <w:t xml:space="preserve">Phase 4 – Last Call (letzte 7 Tage vor dem 01.01.)</w:t>
      </w:r>
    </w:p>
    <w:p>
      <w:pPr>
        <w:pStyle w:val="ListParagraph"/>
        <w:numPr>
          <w:ilvl w:val="0"/>
          <w:numId w:val="1"/>
        </w:numPr>
        <w:spacing w:after="80"/>
      </w:pPr>
      <w:r>
        <w:rPr>
          <w:b w:val="false"/>
          <w:bCs w:val="false"/>
        </w:rPr>
        <w:t xml:space="preserve">Teil 5 "Der Depot-Rettungsplan" veröffentlichen, CTA klar auf Warteliste.</w:t>
      </w:r>
    </w:p>
    <w:p>
      <w:pPr>
        <w:pStyle w:val="ListParagraph"/>
        <w:numPr>
          <w:ilvl w:val="0"/>
          <w:numId w:val="1"/>
        </w:numPr>
        <w:spacing w:after="80"/>
      </w:pPr>
      <w:r>
        <w:rPr>
          <w:b w:val="false"/>
          <w:bCs w:val="false"/>
        </w:rPr>
        <w:t xml:space="preserve">Täglicher Countdown-Content.</w:t>
      </w:r>
    </w:p>
    <w:p>
      <w:pPr>
        <w:pStyle w:val="ListParagraph"/>
        <w:numPr>
          <w:ilvl w:val="0"/>
          <w:numId w:val="1"/>
        </w:numPr>
        <w:spacing w:after="80"/>
      </w:pPr>
      <w:r>
        <w:rPr>
          <w:b w:val="false"/>
          <w:bCs w:val="false"/>
        </w:rPr>
        <w:t xml:space="preserve">Exklusiver Bonus nur für die Newsletter-Liste am Launchtag ankündigen (z. B. früherer Zugang, Extra-Guide).</w:t>
      </w:r>
    </w:p>
    <w:p>
      <w:pPr>
        <w:pStyle w:val="Heading1"/>
        <w:spacing w:after="150" w:before="300"/>
      </w:pPr>
      <w:r>
        <w:t xml:space="preserve">6. Die 5-teilige Video-Serie im Überblick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50"/>
      </w:tblGrid>
      <w:tr>
        <w:tc>
          <w:tcPr>
            <w:tcW w:type="dxa" w:w="900"/>
            <w:shd w:fill="1F4E5F" w:val="clear"/>
            <w:tcMar>
              <w:top w:type="dxa" w:w="80"/>
              <w:left w:type="dxa" w:w="100"/>
              <w:bottom w:type="dxa" w:w="80"/>
              <w:right w:type="dxa" w:w="100"/>
            </w:tcMar>
          </w:tcPr>
          <w:p>
            <w:r>
              <w:rPr>
                <w:b/>
                <w:bCs/>
                <w:color w:val="FFFFFF"/>
                <w:sz w:val="20"/>
                <w:szCs w:val="20"/>
              </w:rPr>
              <w:t xml:space="preserve">Teil</w:t>
            </w:r>
          </w:p>
        </w:tc>
        <w:tc>
          <w:tcPr>
            <w:tcW w:type="dxa" w:w="2600"/>
            <w:shd w:fill="1F4E5F" w:val="clear"/>
            <w:tcMar>
              <w:top w:type="dxa" w:w="80"/>
              <w:left w:type="dxa" w:w="100"/>
              <w:bottom w:type="dxa" w:w="80"/>
              <w:right w:type="dxa" w:w="100"/>
            </w:tcMar>
          </w:tcPr>
          <w:p>
            <w:r>
              <w:rPr>
                <w:b/>
                <w:bCs/>
                <w:color w:val="FFFFFF"/>
                <w:sz w:val="20"/>
                <w:szCs w:val="20"/>
              </w:rPr>
              <w:t xml:space="preserve">Thema</w:t>
            </w:r>
          </w:p>
        </w:tc>
        <w:tc>
          <w:tcPr>
            <w:tcW w:type="dxa" w:w="5850"/>
            <w:shd w:fill="1F4E5F" w:val="clear"/>
            <w:tcMar>
              <w:top w:type="dxa" w:w="80"/>
              <w:left w:type="dxa" w:w="100"/>
              <w:bottom w:type="dxa" w:w="80"/>
              <w:right w:type="dxa" w:w="100"/>
            </w:tcMar>
          </w:tcPr>
          <w:p>
            <w:r>
              <w:rPr>
                <w:b/>
                <w:bCs/>
                <w:color w:val="FFFFFF"/>
                <w:sz w:val="20"/>
                <w:szCs w:val="20"/>
              </w:rPr>
              <w:t xml:space="preserve">Kernbotschaft</w:t>
            </w:r>
          </w:p>
        </w:tc>
      </w:tr>
      <w:tr>
        <w:tc>
          <w:tcPr>
            <w:tcW w:type="dxa" w:w="900"/>
            <w:shd w:fill="EAF1F3" w:val="clear"/>
            <w:tcMar>
              <w:top w:type="dxa" w:w="80"/>
              <w:left w:type="dxa" w:w="100"/>
              <w:bottom w:type="dxa" w:w="80"/>
              <w:right w:type="dxa" w:w="100"/>
            </w:tcMar>
          </w:tcPr>
          <w:p>
            <w:r>
              <w:rPr>
                <w:b w:val="false"/>
                <w:bCs w:val="false"/>
                <w:color w:val="000000"/>
                <w:sz w:val="20"/>
                <w:szCs w:val="20"/>
              </w:rPr>
              <w:t xml:space="preserve">1</w:t>
            </w:r>
          </w:p>
        </w:tc>
        <w:tc>
          <w:tcPr>
            <w:tcW w:type="dxa" w:w="2600"/>
            <w:shd w:fill="EAF1F3" w:val="clear"/>
            <w:tcMar>
              <w:top w:type="dxa" w:w="80"/>
              <w:left w:type="dxa" w:w="100"/>
              <w:bottom w:type="dxa" w:w="80"/>
              <w:right w:type="dxa" w:w="100"/>
            </w:tcMar>
          </w:tcPr>
          <w:p>
            <w:r>
              <w:rPr>
                <w:b w:val="false"/>
                <w:bCs w:val="false"/>
                <w:color w:val="000000"/>
                <w:sz w:val="20"/>
                <w:szCs w:val="20"/>
              </w:rPr>
              <w:t xml:space="preserve">Die Hungersteine</w:t>
            </w:r>
          </w:p>
        </w:tc>
        <w:tc>
          <w:tcPr>
            <w:tcW w:type="dxa" w:w="5850"/>
            <w:tcMar>
              <w:top w:type="dxa" w:w="80"/>
              <w:left w:type="dxa" w:w="100"/>
              <w:bottom w:type="dxa" w:w="80"/>
              <w:right w:type="dxa" w:w="100"/>
            </w:tcMar>
          </w:tcPr>
          <w:p>
            <w:r>
              <w:rPr>
                <w:b w:val="false"/>
                <w:bCs w:val="false"/>
                <w:color w:val="000000"/>
                <w:sz w:val="20"/>
                <w:szCs w:val="20"/>
              </w:rPr>
              <w:t xml:space="preserve">Warum es keine "Wohlstands-Steine" gibt – Einführung der Metapher</w:t>
            </w:r>
          </w:p>
        </w:tc>
      </w:tr>
      <w:tr>
        <w:tc>
          <w:tcPr>
            <w:tcW w:type="dxa" w:w="900"/>
            <w:shd w:fill="EAF1F3" w:val="clear"/>
            <w:tcMar>
              <w:top w:type="dxa" w:w="80"/>
              <w:left w:type="dxa" w:w="100"/>
              <w:bottom w:type="dxa" w:w="80"/>
              <w:right w:type="dxa" w:w="100"/>
            </w:tcMar>
          </w:tcPr>
          <w:p>
            <w:r>
              <w:rPr>
                <w:b w:val="false"/>
                <w:bCs w:val="false"/>
                <w:color w:val="000000"/>
                <w:sz w:val="20"/>
                <w:szCs w:val="20"/>
              </w:rPr>
              <w:t xml:space="preserve">2</w:t>
            </w:r>
          </w:p>
        </w:tc>
        <w:tc>
          <w:tcPr>
            <w:tcW w:type="dxa" w:w="2600"/>
            <w:shd w:fill="EAF1F3" w:val="clear"/>
            <w:tcMar>
              <w:top w:type="dxa" w:w="80"/>
              <w:left w:type="dxa" w:w="100"/>
              <w:bottom w:type="dxa" w:w="80"/>
              <w:right w:type="dxa" w:w="100"/>
            </w:tcMar>
          </w:tcPr>
          <w:p>
            <w:r>
              <w:rPr>
                <w:b w:val="false"/>
                <w:bCs w:val="false"/>
                <w:color w:val="000000"/>
                <w:sz w:val="20"/>
                <w:szCs w:val="20"/>
              </w:rPr>
              <w:t xml:space="preserve">Die Steinzeit-Formel</w:t>
            </w:r>
          </w:p>
        </w:tc>
        <w:tc>
          <w:tcPr>
            <w:tcW w:type="dxa" w:w="5850"/>
            <w:tcMar>
              <w:top w:type="dxa" w:w="80"/>
              <w:left w:type="dxa" w:w="100"/>
              <w:bottom w:type="dxa" w:w="80"/>
              <w:right w:type="dxa" w:w="100"/>
            </w:tcMar>
          </w:tcPr>
          <w:p>
            <w:r>
              <w:rPr>
                <w:b w:val="false"/>
                <w:bCs w:val="false"/>
                <w:color w:val="000000"/>
                <w:sz w:val="20"/>
                <w:szCs w:val="20"/>
              </w:rPr>
              <w:t xml:space="preserve">Verlustaversion – warum Verlust doppelt so stark wiegt wie Gewinn</w:t>
            </w:r>
          </w:p>
        </w:tc>
      </w:tr>
      <w:tr>
        <w:tc>
          <w:tcPr>
            <w:tcW w:type="dxa" w:w="900"/>
            <w:shd w:fill="EAF1F3" w:val="clear"/>
            <w:tcMar>
              <w:top w:type="dxa" w:w="80"/>
              <w:left w:type="dxa" w:w="100"/>
              <w:bottom w:type="dxa" w:w="80"/>
              <w:right w:type="dxa" w:w="100"/>
            </w:tcMar>
          </w:tcPr>
          <w:p>
            <w:r>
              <w:rPr>
                <w:b w:val="false"/>
                <w:bCs w:val="false"/>
                <w:color w:val="000000"/>
                <w:sz w:val="20"/>
                <w:szCs w:val="20"/>
              </w:rPr>
              <w:t xml:space="preserve">3</w:t>
            </w:r>
          </w:p>
        </w:tc>
        <w:tc>
          <w:tcPr>
            <w:tcW w:type="dxa" w:w="2600"/>
            <w:shd w:fill="EAF1F3" w:val="clear"/>
            <w:tcMar>
              <w:top w:type="dxa" w:w="80"/>
              <w:left w:type="dxa" w:w="100"/>
              <w:bottom w:type="dxa" w:w="80"/>
              <w:right w:type="dxa" w:w="100"/>
            </w:tcMar>
          </w:tcPr>
          <w:p>
            <w:r>
              <w:rPr>
                <w:b w:val="false"/>
                <w:bCs w:val="false"/>
                <w:color w:val="000000"/>
                <w:sz w:val="20"/>
                <w:szCs w:val="20"/>
              </w:rPr>
              <w:t xml:space="preserve">Der Hundebesitzer-Indikator</w:t>
            </w:r>
          </w:p>
        </w:tc>
        <w:tc>
          <w:tcPr>
            <w:tcW w:type="dxa" w:w="5850"/>
            <w:tcMar>
              <w:top w:type="dxa" w:w="80"/>
              <w:left w:type="dxa" w:w="100"/>
              <w:bottom w:type="dxa" w:w="80"/>
              <w:right w:type="dxa" w:w="100"/>
            </w:tcMar>
          </w:tcPr>
          <w:p>
            <w:r>
              <w:rPr>
                <w:b w:val="false"/>
                <w:bCs w:val="false"/>
                <w:color w:val="000000"/>
                <w:sz w:val="20"/>
                <w:szCs w:val="20"/>
              </w:rPr>
              <w:t xml:space="preserve">Die "Dienstmädchen-Hausse" als Warnsignal für Marktübertreibung</w:t>
            </w:r>
          </w:p>
        </w:tc>
      </w:tr>
      <w:tr>
        <w:tc>
          <w:tcPr>
            <w:tcW w:type="dxa" w:w="900"/>
            <w:shd w:fill="EAF1F3" w:val="clear"/>
            <w:tcMar>
              <w:top w:type="dxa" w:w="80"/>
              <w:left w:type="dxa" w:w="100"/>
              <w:bottom w:type="dxa" w:w="80"/>
              <w:right w:type="dxa" w:w="100"/>
            </w:tcMar>
          </w:tcPr>
          <w:p>
            <w:r>
              <w:rPr>
                <w:b w:val="false"/>
                <w:bCs w:val="false"/>
                <w:color w:val="000000"/>
                <w:sz w:val="20"/>
                <w:szCs w:val="20"/>
              </w:rPr>
              <w:t xml:space="preserve">4</w:t>
            </w:r>
          </w:p>
        </w:tc>
        <w:tc>
          <w:tcPr>
            <w:tcW w:type="dxa" w:w="2600"/>
            <w:shd w:fill="EAF1F3" w:val="clear"/>
            <w:tcMar>
              <w:top w:type="dxa" w:w="80"/>
              <w:left w:type="dxa" w:w="100"/>
              <w:bottom w:type="dxa" w:w="80"/>
              <w:right w:type="dxa" w:w="100"/>
            </w:tcMar>
          </w:tcPr>
          <w:p>
            <w:r>
              <w:rPr>
                <w:b w:val="false"/>
                <w:bCs w:val="false"/>
                <w:color w:val="000000"/>
                <w:sz w:val="20"/>
                <w:szCs w:val="20"/>
              </w:rPr>
              <w:t xml:space="preserve">Die Bruchlinien im DAX</w:t>
            </w:r>
          </w:p>
        </w:tc>
        <w:tc>
          <w:tcPr>
            <w:tcW w:type="dxa" w:w="5850"/>
            <w:tcMar>
              <w:top w:type="dxa" w:w="80"/>
              <w:left w:type="dxa" w:w="100"/>
              <w:bottom w:type="dxa" w:w="80"/>
              <w:right w:type="dxa" w:w="100"/>
            </w:tcMar>
          </w:tcPr>
          <w:p>
            <w:r>
              <w:rPr>
                <w:b w:val="false"/>
                <w:bCs w:val="false"/>
                <w:color w:val="000000"/>
                <w:sz w:val="20"/>
                <w:szCs w:val="20"/>
              </w:rPr>
              <w:t xml:space="preserve">Was technisch passiert, wenn Unterstützungslinien brechen</w:t>
            </w:r>
          </w:p>
        </w:tc>
      </w:tr>
      <w:tr>
        <w:tc>
          <w:tcPr>
            <w:tcW w:type="dxa" w:w="900"/>
            <w:shd w:fill="EAF1F3" w:val="clear"/>
            <w:tcMar>
              <w:top w:type="dxa" w:w="80"/>
              <w:left w:type="dxa" w:w="100"/>
              <w:bottom w:type="dxa" w:w="80"/>
              <w:right w:type="dxa" w:w="100"/>
            </w:tcMar>
          </w:tcPr>
          <w:p>
            <w:r>
              <w:rPr>
                <w:b w:val="false"/>
                <w:bCs w:val="false"/>
                <w:color w:val="000000"/>
                <w:sz w:val="20"/>
                <w:szCs w:val="20"/>
              </w:rPr>
              <w:t xml:space="preserve">5</w:t>
            </w:r>
          </w:p>
        </w:tc>
        <w:tc>
          <w:tcPr>
            <w:tcW w:type="dxa" w:w="2600"/>
            <w:shd w:fill="EAF1F3" w:val="clear"/>
            <w:tcMar>
              <w:top w:type="dxa" w:w="80"/>
              <w:left w:type="dxa" w:w="100"/>
              <w:bottom w:type="dxa" w:w="80"/>
              <w:right w:type="dxa" w:w="100"/>
            </w:tcMar>
          </w:tcPr>
          <w:p>
            <w:r>
              <w:rPr>
                <w:b w:val="false"/>
                <w:bCs w:val="false"/>
                <w:color w:val="000000"/>
                <w:sz w:val="20"/>
                <w:szCs w:val="20"/>
              </w:rPr>
              <w:t xml:space="preserve">Der Depot-Rettungsplan</w:t>
            </w:r>
          </w:p>
        </w:tc>
        <w:tc>
          <w:tcPr>
            <w:tcW w:type="dxa" w:w="5850"/>
            <w:tcMar>
              <w:top w:type="dxa" w:w="80"/>
              <w:left w:type="dxa" w:w="100"/>
              <w:bottom w:type="dxa" w:w="80"/>
              <w:right w:type="dxa" w:w="100"/>
            </w:tcMar>
          </w:tcPr>
          <w:p>
            <w:r>
              <w:rPr>
                <w:b w:val="false"/>
                <w:bCs w:val="false"/>
                <w:color w:val="000000"/>
                <w:sz w:val="20"/>
                <w:szCs w:val="20"/>
              </w:rPr>
              <w:t xml:space="preserve">Konkrete Strategie: Gewinne sichern, Stop-Loss, Raketen absichern</w:t>
            </w:r>
          </w:p>
        </w:tc>
      </w:tr>
    </w:tbl>
    <w:p>
      <w:pPr>
        <w:spacing w:after="200"/>
      </w:pPr>
    </w:p>
    <w:p>
      <w:pPr>
        <w:pStyle w:val="Heading1"/>
        <w:spacing w:after="150" w:before="300"/>
      </w:pPr>
      <w:r>
        <w:t xml:space="preserve">7. Skript Teil 1 – "Die Hungersteine des DAX" (ca. 60 Sek.)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4050"/>
      </w:tblGrid>
      <w:tr>
        <w:tc>
          <w:tcPr>
            <w:tcW w:type="dxa" w:w="1300"/>
            <w:shd w:fill="1F4E5F" w:val="clear"/>
            <w:tcMar>
              <w:top w:type="dxa" w:w="80"/>
              <w:left w:type="dxa" w:w="100"/>
              <w:bottom w:type="dxa" w:w="80"/>
              <w:right w:type="dxa" w:w="100"/>
            </w:tcMar>
          </w:tcPr>
          <w:p>
            <w:r>
              <w:rPr>
                <w:b/>
                <w:bCs/>
                <w:color w:val="FFFFFF"/>
                <w:sz w:val="20"/>
                <w:szCs w:val="20"/>
              </w:rPr>
              <w:t xml:space="preserve">Zeit</w:t>
            </w:r>
          </w:p>
        </w:tc>
        <w:tc>
          <w:tcPr>
            <w:tcW w:type="dxa" w:w="4000"/>
            <w:shd w:fill="1F4E5F" w:val="clear"/>
            <w:tcMar>
              <w:top w:type="dxa" w:w="80"/>
              <w:left w:type="dxa" w:w="100"/>
              <w:bottom w:type="dxa" w:w="80"/>
              <w:right w:type="dxa" w:w="100"/>
            </w:tcMar>
          </w:tcPr>
          <w:p>
            <w:r>
              <w:rPr>
                <w:b/>
                <w:bCs/>
                <w:color w:val="FFFFFF"/>
                <w:sz w:val="20"/>
                <w:szCs w:val="20"/>
              </w:rPr>
              <w:t xml:space="preserve">Visuelle Anweisung (B-Roll / Prompt)</w:t>
            </w:r>
          </w:p>
        </w:tc>
        <w:tc>
          <w:tcPr>
            <w:tcW w:type="dxa" w:w="4050"/>
            <w:shd w:fill="1F4E5F" w:val="clear"/>
            <w:tcMar>
              <w:top w:type="dxa" w:w="80"/>
              <w:left w:type="dxa" w:w="100"/>
              <w:bottom w:type="dxa" w:w="80"/>
              <w:right w:type="dxa" w:w="100"/>
            </w:tcMar>
          </w:tcPr>
          <w:p>
            <w:r>
              <w:rPr>
                <w:b/>
                <w:bCs/>
                <w:color w:val="FFFFFF"/>
                <w:sz w:val="20"/>
                <w:szCs w:val="20"/>
              </w:rPr>
              <w:t xml:space="preserve">Voiceover</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0:00–0:05</w:t>
            </w:r>
          </w:p>
        </w:tc>
        <w:tc>
          <w:tcPr>
            <w:tcW w:type="dxa" w:w="4000"/>
            <w:tcMar>
              <w:top w:type="dxa" w:w="80"/>
              <w:left w:type="dxa" w:w="100"/>
              <w:bottom w:type="dxa" w:w="80"/>
              <w:right w:type="dxa" w:w="100"/>
            </w:tcMar>
          </w:tcPr>
          <w:p>
            <w:r>
              <w:rPr>
                <w:b w:val="false"/>
                <w:bCs w:val="false"/>
                <w:color w:val="000000"/>
                <w:sz w:val="20"/>
                <w:szCs w:val="20"/>
              </w:rPr>
              <w:t xml:space="preserve">Dynamischer Zoom auf einen rissigen, ausgetrockneten Flusslauf mit bedrohlichen Felsen im Schlamm.</w:t>
            </w:r>
          </w:p>
        </w:tc>
        <w:tc>
          <w:tcPr>
            <w:tcW w:type="dxa" w:w="4050"/>
            <w:tcMar>
              <w:top w:type="dxa" w:w="80"/>
              <w:left w:type="dxa" w:w="100"/>
              <w:bottom w:type="dxa" w:w="80"/>
              <w:right w:type="dxa" w:w="100"/>
            </w:tcMar>
          </w:tcPr>
          <w:p>
            <w:r>
              <w:rPr>
                <w:b w:val="false"/>
                <w:bCs w:val="false"/>
                <w:color w:val="000000"/>
                <w:sz w:val="20"/>
                <w:szCs w:val="20"/>
              </w:rPr>
              <w:t xml:space="preserve">Warum baut die Börse eigentlich keine Wohlstands-Denkmäler?</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0:05–0:12</w:t>
            </w:r>
          </w:p>
        </w:tc>
        <w:tc>
          <w:tcPr>
            <w:tcW w:type="dxa" w:w="4000"/>
            <w:tcMar>
              <w:top w:type="dxa" w:w="80"/>
              <w:left w:type="dxa" w:w="100"/>
              <w:bottom w:type="dxa" w:w="80"/>
              <w:right w:type="dxa" w:w="100"/>
            </w:tcMar>
          </w:tcPr>
          <w:p>
            <w:r>
              <w:rPr>
                <w:b w:val="false"/>
                <w:bCs w:val="false"/>
                <w:color w:val="000000"/>
                <w:sz w:val="20"/>
                <w:szCs w:val="20"/>
              </w:rPr>
              <w:t xml:space="preserve">Nahaufnahme eines alten Steins mit eingemeißelter Schrift ("Wenn du mich siehst, dann weine").</w:t>
            </w:r>
          </w:p>
        </w:tc>
        <w:tc>
          <w:tcPr>
            <w:tcW w:type="dxa" w:w="4050"/>
            <w:tcMar>
              <w:top w:type="dxa" w:w="80"/>
              <w:left w:type="dxa" w:w="100"/>
              <w:bottom w:type="dxa" w:w="80"/>
              <w:right w:type="dxa" w:w="100"/>
            </w:tcMar>
          </w:tcPr>
          <w:p>
            <w:r>
              <w:rPr>
                <w:b w:val="false"/>
                <w:bCs w:val="false"/>
                <w:color w:val="000000"/>
                <w:sz w:val="20"/>
                <w:szCs w:val="20"/>
              </w:rPr>
              <w:t xml:space="preserve">Bei extremer Dürre tauchen in Flüssen sogenannte Hungersteine auf. Sie markieren historische Katastrophen.</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0:12–0:19</w:t>
            </w:r>
          </w:p>
        </w:tc>
        <w:tc>
          <w:tcPr>
            <w:tcW w:type="dxa" w:w="4000"/>
            <w:tcMar>
              <w:top w:type="dxa" w:w="80"/>
              <w:left w:type="dxa" w:w="100"/>
              <w:bottom w:type="dxa" w:w="80"/>
              <w:right w:type="dxa" w:w="100"/>
            </w:tcMar>
          </w:tcPr>
          <w:p>
            <w:r>
              <w:rPr>
                <w:b w:val="false"/>
                <w:bCs w:val="false"/>
                <w:color w:val="000000"/>
                <w:sz w:val="20"/>
                <w:szCs w:val="20"/>
              </w:rPr>
              <w:t xml:space="preserve">Wechsel zu einem modernen, glänzenden Wolkenkratzer (Frankfurter Börse).</w:t>
            </w:r>
          </w:p>
        </w:tc>
        <w:tc>
          <w:tcPr>
            <w:tcW w:type="dxa" w:w="4050"/>
            <w:tcMar>
              <w:top w:type="dxa" w:w="80"/>
              <w:left w:type="dxa" w:w="100"/>
              <w:bottom w:type="dxa" w:w="80"/>
              <w:right w:type="dxa" w:w="100"/>
            </w:tcMar>
          </w:tcPr>
          <w:p>
            <w:r>
              <w:rPr>
                <w:b w:val="false"/>
                <w:bCs w:val="false"/>
                <w:color w:val="000000"/>
                <w:sz w:val="20"/>
                <w:szCs w:val="20"/>
              </w:rPr>
              <w:t xml:space="preserve">Aber niemand versenkt Steine bei Rekordernten. Warum? Weil Verlust uns psychologisch doppelt so tief trifft wie Gewinn!</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0:19–0:26</w:t>
            </w:r>
          </w:p>
        </w:tc>
        <w:tc>
          <w:tcPr>
            <w:tcW w:type="dxa" w:w="4000"/>
            <w:tcMar>
              <w:top w:type="dxa" w:w="80"/>
              <w:left w:type="dxa" w:w="100"/>
              <w:bottom w:type="dxa" w:w="80"/>
              <w:right w:type="dxa" w:w="100"/>
            </w:tcMar>
          </w:tcPr>
          <w:p>
            <w:r>
              <w:rPr>
                <w:b w:val="false"/>
                <w:bCs w:val="false"/>
                <w:color w:val="000000"/>
                <w:sz w:val="20"/>
                <w:szCs w:val="20"/>
              </w:rPr>
              <w:t xml:space="preserve">Ein Mann geht entspannt mit einem Hund im Park spazieren.</w:t>
            </w:r>
          </w:p>
        </w:tc>
        <w:tc>
          <w:tcPr>
            <w:tcW w:type="dxa" w:w="4050"/>
            <w:tcMar>
              <w:top w:type="dxa" w:w="80"/>
              <w:left w:type="dxa" w:w="100"/>
              <w:bottom w:type="dxa" w:w="80"/>
              <w:right w:type="dxa" w:w="100"/>
            </w:tcMar>
          </w:tcPr>
          <w:p>
            <w:r>
              <w:rPr>
                <w:b w:val="false"/>
                <w:bCs w:val="false"/>
                <w:color w:val="000000"/>
                <w:sz w:val="20"/>
                <w:szCs w:val="20"/>
              </w:rPr>
              <w:t xml:space="preserve">Im Bullenmarkt hebt die Flut alle Schiffe. Du gehst mit dem Hund Gassi und wirst plötzlich von Fremden angesprochen...</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0:26–0:31</w:t>
            </w:r>
          </w:p>
        </w:tc>
        <w:tc>
          <w:tcPr>
            <w:tcW w:type="dxa" w:w="4000"/>
            <w:tcMar>
              <w:top w:type="dxa" w:w="80"/>
              <w:left w:type="dxa" w:w="100"/>
              <w:bottom w:type="dxa" w:w="80"/>
              <w:right w:type="dxa" w:w="100"/>
            </w:tcMar>
          </w:tcPr>
          <w:p>
            <w:r>
              <w:rPr>
                <w:b w:val="false"/>
                <w:bCs w:val="false"/>
                <w:color w:val="000000"/>
                <w:sz w:val="20"/>
                <w:szCs w:val="20"/>
              </w:rPr>
              <w:t xml:space="preserve">Smartphone-Bildschirm zeigt eine steil steigende, unbenannte Aktie (Platzhalter-Chart).</w:t>
            </w:r>
          </w:p>
        </w:tc>
        <w:tc>
          <w:tcPr>
            <w:tcW w:type="dxa" w:w="4050"/>
            <w:tcMar>
              <w:top w:type="dxa" w:w="80"/>
              <w:left w:type="dxa" w:w="100"/>
              <w:bottom w:type="dxa" w:w="80"/>
              <w:right w:type="dxa" w:w="100"/>
            </w:tcMar>
          </w:tcPr>
          <w:p>
            <w:r>
              <w:rPr>
                <w:b w:val="false"/>
                <w:bCs w:val="false"/>
                <w:color w:val="000000"/>
                <w:sz w:val="20"/>
                <w:szCs w:val="20"/>
              </w:rPr>
              <w:t xml:space="preserve">...dass du JETZT unbedingt genau diesen einen Titel kaufen musst!</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0:31–0:39</w:t>
            </w:r>
          </w:p>
        </w:tc>
        <w:tc>
          <w:tcPr>
            <w:tcW w:type="dxa" w:w="4000"/>
            <w:tcMar>
              <w:top w:type="dxa" w:w="80"/>
              <w:left w:type="dxa" w:w="100"/>
              <w:bottom w:type="dxa" w:w="80"/>
              <w:right w:type="dxa" w:w="100"/>
            </w:tcMar>
          </w:tcPr>
          <w:p>
            <w:r>
              <w:rPr>
                <w:b w:val="false"/>
                <w:bCs w:val="false"/>
                <w:color w:val="000000"/>
                <w:sz w:val="20"/>
                <w:szCs w:val="20"/>
              </w:rPr>
              <w:t xml:space="preserve">Ein rotes Warnlicht blinkt auf. Eine animierte Waage kippt rasant nach unten.</w:t>
            </w:r>
          </w:p>
        </w:tc>
        <w:tc>
          <w:tcPr>
            <w:tcW w:type="dxa" w:w="4050"/>
            <w:tcMar>
              <w:top w:type="dxa" w:w="80"/>
              <w:left w:type="dxa" w:w="100"/>
              <w:bottom w:type="dxa" w:w="80"/>
              <w:right w:type="dxa" w:w="100"/>
            </w:tcMar>
          </w:tcPr>
          <w:p>
            <w:r>
              <w:rPr>
                <w:b w:val="false"/>
                <w:bCs w:val="false"/>
                <w:color w:val="000000"/>
                <w:sz w:val="20"/>
                <w:szCs w:val="20"/>
              </w:rPr>
              <w:t xml:space="preserve">Genau das ist dein Warnsignal. Der Markt pendelt aus. Die Gier schlägt in pure Panik um.</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0:39–0:47</w:t>
            </w:r>
          </w:p>
        </w:tc>
        <w:tc>
          <w:tcPr>
            <w:tcW w:type="dxa" w:w="4000"/>
            <w:tcMar>
              <w:top w:type="dxa" w:w="80"/>
              <w:left w:type="dxa" w:w="100"/>
              <w:bottom w:type="dxa" w:w="80"/>
              <w:right w:type="dxa" w:w="100"/>
            </w:tcMar>
          </w:tcPr>
          <w:p>
            <w:r>
              <w:rPr>
                <w:b w:val="false"/>
                <w:bCs w:val="false"/>
                <w:color w:val="000000"/>
                <w:sz w:val="20"/>
                <w:szCs w:val="20"/>
              </w:rPr>
              <w:t xml:space="preserve">Ein DAX-Chart bricht nach unten durch eine dicke, rote Linie (Unterstützungslinie).</w:t>
            </w:r>
          </w:p>
        </w:tc>
        <w:tc>
          <w:tcPr>
            <w:tcW w:type="dxa" w:w="4050"/>
            <w:tcMar>
              <w:top w:type="dxa" w:w="80"/>
              <w:left w:type="dxa" w:w="100"/>
              <w:bottom w:type="dxa" w:w="80"/>
              <w:right w:type="dxa" w:w="100"/>
            </w:tcMar>
          </w:tcPr>
          <w:p>
            <w:r>
              <w:rPr>
                <w:b w:val="false"/>
                <w:bCs w:val="false"/>
                <w:color w:val="000000"/>
                <w:sz w:val="20"/>
                <w:szCs w:val="20"/>
              </w:rPr>
              <w:t xml:space="preserve">Fällt der DAX unter wichtige Chartlinien, tauchen die Börsen-Hungersteine auf. Automatische Verkäufe lösen aus.</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0:47–0:54</w:t>
            </w:r>
          </w:p>
        </w:tc>
        <w:tc>
          <w:tcPr>
            <w:tcW w:type="dxa" w:w="4000"/>
            <w:tcMar>
              <w:top w:type="dxa" w:w="80"/>
              <w:left w:type="dxa" w:w="100"/>
              <w:bottom w:type="dxa" w:w="80"/>
              <w:right w:type="dxa" w:w="100"/>
            </w:tcMar>
          </w:tcPr>
          <w:p>
            <w:r>
              <w:rPr>
                <w:b w:val="false"/>
                <w:bCs w:val="false"/>
                <w:color w:val="000000"/>
                <w:sz w:val="20"/>
                <w:szCs w:val="20"/>
              </w:rPr>
              <w:t xml:space="preserve">Der DAX-Chart stürzt rasant ab (schneller als der Aufstieg).</w:t>
            </w:r>
          </w:p>
        </w:tc>
        <w:tc>
          <w:tcPr>
            <w:tcW w:type="dxa" w:w="4050"/>
            <w:tcMar>
              <w:top w:type="dxa" w:w="80"/>
              <w:left w:type="dxa" w:w="100"/>
              <w:bottom w:type="dxa" w:w="80"/>
              <w:right w:type="dxa" w:w="100"/>
            </w:tcMar>
          </w:tcPr>
          <w:p>
            <w:r>
              <w:rPr>
                <w:b w:val="false"/>
                <w:bCs w:val="false"/>
                <w:color w:val="000000"/>
                <w:sz w:val="20"/>
                <w:szCs w:val="20"/>
              </w:rPr>
              <w:t xml:space="preserve">Und weil Angst stärker ist als Gier, krachen die Kurse im Keller dreimal schneller, als sie gestiegen sind.</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0:54–1:00</w:t>
            </w:r>
          </w:p>
        </w:tc>
        <w:tc>
          <w:tcPr>
            <w:tcW w:type="dxa" w:w="4000"/>
            <w:tcMar>
              <w:top w:type="dxa" w:w="80"/>
              <w:left w:type="dxa" w:w="100"/>
              <w:bottom w:type="dxa" w:w="80"/>
              <w:right w:type="dxa" w:w="100"/>
            </w:tcMar>
          </w:tcPr>
          <w:p>
            <w:r>
              <w:rPr>
                <w:b w:val="false"/>
                <w:bCs w:val="false"/>
                <w:color w:val="000000"/>
                <w:sz w:val="20"/>
                <w:szCs w:val="20"/>
              </w:rPr>
              <w:t xml:space="preserve">Text: "Trag dich ein – verpass den Start nicht!" Ein Finger tippt auf ein Tablet.</w:t>
            </w:r>
          </w:p>
        </w:tc>
        <w:tc>
          <w:tcPr>
            <w:tcW w:type="dxa" w:w="4050"/>
            <w:tcMar>
              <w:top w:type="dxa" w:w="80"/>
              <w:left w:type="dxa" w:w="100"/>
              <w:bottom w:type="dxa" w:w="80"/>
              <w:right w:type="dxa" w:w="100"/>
            </w:tcMar>
          </w:tcPr>
          <w:p>
            <w:r>
              <w:rPr>
                <w:b w:val="false"/>
                <w:bCs w:val="false"/>
                <w:color w:val="000000"/>
                <w:sz w:val="20"/>
                <w:szCs w:val="20"/>
              </w:rPr>
              <w:t xml:space="preserve">Willst du die Meilensteine der Märkte lesen lernen? Trag dich in die Warteliste ein – Link in der Bio!</w:t>
            </w:r>
          </w:p>
        </w:tc>
      </w:tr>
    </w:tbl>
    <w:p>
      <w:pPr>
        <w:pStyle w:val="Heading1"/>
        <w:spacing w:after="150" w:before="300"/>
      </w:pPr>
      <w:r>
        <w:t xml:space="preserve">8. Skript Teil 2 – "Die Steinzeit-Formel Ihres Depots" (ca. 60 Sek.)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4050"/>
      </w:tblGrid>
      <w:tr>
        <w:tc>
          <w:tcPr>
            <w:tcW w:type="dxa" w:w="1300"/>
            <w:shd w:fill="1F4E5F" w:val="clear"/>
            <w:tcMar>
              <w:top w:type="dxa" w:w="80"/>
              <w:left w:type="dxa" w:w="100"/>
              <w:bottom w:type="dxa" w:w="80"/>
              <w:right w:type="dxa" w:w="100"/>
            </w:tcMar>
          </w:tcPr>
          <w:p>
            <w:r>
              <w:rPr>
                <w:b/>
                <w:bCs/>
                <w:color w:val="FFFFFF"/>
                <w:sz w:val="20"/>
                <w:szCs w:val="20"/>
              </w:rPr>
              <w:t xml:space="preserve">Zeit</w:t>
            </w:r>
          </w:p>
        </w:tc>
        <w:tc>
          <w:tcPr>
            <w:tcW w:type="dxa" w:w="4000"/>
            <w:shd w:fill="1F4E5F" w:val="clear"/>
            <w:tcMar>
              <w:top w:type="dxa" w:w="80"/>
              <w:left w:type="dxa" w:w="100"/>
              <w:bottom w:type="dxa" w:w="80"/>
              <w:right w:type="dxa" w:w="100"/>
            </w:tcMar>
          </w:tcPr>
          <w:p>
            <w:r>
              <w:rPr>
                <w:b/>
                <w:bCs/>
                <w:color w:val="FFFFFF"/>
                <w:sz w:val="20"/>
                <w:szCs w:val="20"/>
              </w:rPr>
              <w:t xml:space="preserve">Visuelle Anweisung (B-Roll / Prompt)</w:t>
            </w:r>
          </w:p>
        </w:tc>
        <w:tc>
          <w:tcPr>
            <w:tcW w:type="dxa" w:w="4050"/>
            <w:shd w:fill="1F4E5F" w:val="clear"/>
            <w:tcMar>
              <w:top w:type="dxa" w:w="80"/>
              <w:left w:type="dxa" w:w="100"/>
              <w:bottom w:type="dxa" w:w="80"/>
              <w:right w:type="dxa" w:w="100"/>
            </w:tcMar>
          </w:tcPr>
          <w:p>
            <w:r>
              <w:rPr>
                <w:b/>
                <w:bCs/>
                <w:color w:val="FFFFFF"/>
                <w:sz w:val="20"/>
                <w:szCs w:val="20"/>
              </w:rPr>
              <w:t xml:space="preserve">Voiceover</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0:00–0:06</w:t>
            </w:r>
          </w:p>
        </w:tc>
        <w:tc>
          <w:tcPr>
            <w:tcW w:type="dxa" w:w="4000"/>
            <w:tcMar>
              <w:top w:type="dxa" w:w="80"/>
              <w:left w:type="dxa" w:w="100"/>
              <w:bottom w:type="dxa" w:w="80"/>
              <w:right w:type="dxa" w:w="100"/>
            </w:tcMar>
          </w:tcPr>
          <w:p>
            <w:r>
              <w:rPr>
                <w:b w:val="false"/>
                <w:bCs w:val="false"/>
                <w:color w:val="000000"/>
                <w:sz w:val="20"/>
                <w:szCs w:val="20"/>
              </w:rPr>
              <w:t xml:space="preserve">Ein Mann sitzt frustriert vor einem Laptop, der Kopf in den Händen. Rote Zahlen spiegeln sich in seiner Brille.</w:t>
            </w:r>
          </w:p>
        </w:tc>
        <w:tc>
          <w:tcPr>
            <w:tcW w:type="dxa" w:w="4050"/>
            <w:tcMar>
              <w:top w:type="dxa" w:w="80"/>
              <w:left w:type="dxa" w:w="100"/>
              <w:bottom w:type="dxa" w:w="80"/>
              <w:right w:type="dxa" w:w="100"/>
            </w:tcMar>
          </w:tcPr>
          <w:p>
            <w:r>
              <w:rPr>
                <w:b w:val="false"/>
                <w:bCs w:val="false"/>
                <w:color w:val="000000"/>
                <w:sz w:val="20"/>
                <w:szCs w:val="20"/>
              </w:rPr>
              <w:t xml:space="preserve">Warum tut ein Verlust von 1.000 Euro im Depot doppelt so weh, wie ein Gewinn von 1.000 Euro uns freut?</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0:06–0:13</w:t>
            </w:r>
          </w:p>
        </w:tc>
        <w:tc>
          <w:tcPr>
            <w:tcW w:type="dxa" w:w="4000"/>
            <w:tcMar>
              <w:top w:type="dxa" w:w="80"/>
              <w:left w:type="dxa" w:w="100"/>
              <w:bottom w:type="dxa" w:w="80"/>
              <w:right w:type="dxa" w:w="100"/>
            </w:tcMar>
          </w:tcPr>
          <w:p>
            <w:r>
              <w:rPr>
                <w:b w:val="false"/>
                <w:bCs w:val="false"/>
                <w:color w:val="000000"/>
                <w:sz w:val="20"/>
                <w:szCs w:val="20"/>
              </w:rPr>
              <w:t xml:space="preserve">Schneller Kameraschnitt: Ein Steinzeitmensch im Fell steht mit einem Speer in einer kargen Landschaft.</w:t>
            </w:r>
          </w:p>
        </w:tc>
        <w:tc>
          <w:tcPr>
            <w:tcW w:type="dxa" w:w="4050"/>
            <w:tcMar>
              <w:top w:type="dxa" w:w="80"/>
              <w:left w:type="dxa" w:w="100"/>
              <w:bottom w:type="dxa" w:w="80"/>
              <w:right w:type="dxa" w:w="100"/>
            </w:tcMar>
          </w:tcPr>
          <w:p>
            <w:r>
              <w:rPr>
                <w:b w:val="false"/>
                <w:bCs w:val="false"/>
                <w:color w:val="000000"/>
                <w:sz w:val="20"/>
                <w:szCs w:val="20"/>
              </w:rPr>
              <w:t xml:space="preserve">Die Antwort liegt in unserer Evolution. Willkommen in der Steinzeit.</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0:13–0:21</w:t>
            </w:r>
          </w:p>
        </w:tc>
        <w:tc>
          <w:tcPr>
            <w:tcW w:type="dxa" w:w="4000"/>
            <w:tcMar>
              <w:top w:type="dxa" w:w="80"/>
              <w:left w:type="dxa" w:w="100"/>
              <w:bottom w:type="dxa" w:w="80"/>
              <w:right w:type="dxa" w:w="100"/>
            </w:tcMar>
          </w:tcPr>
          <w:p>
            <w:r>
              <w:rPr>
                <w:b w:val="false"/>
                <w:bCs w:val="false"/>
                <w:color w:val="000000"/>
                <w:sz w:val="20"/>
                <w:szCs w:val="20"/>
              </w:rPr>
              <w:t xml:space="preserve">Der Steinzeitmensch schaut traurig auf einen Beerenstrauch, dann panisch in den Himmel (Dürre).</w:t>
            </w:r>
          </w:p>
        </w:tc>
        <w:tc>
          <w:tcPr>
            <w:tcW w:type="dxa" w:w="4050"/>
            <w:tcMar>
              <w:top w:type="dxa" w:w="80"/>
              <w:left w:type="dxa" w:w="100"/>
              <w:bottom w:type="dxa" w:w="80"/>
              <w:right w:type="dxa" w:w="100"/>
            </w:tcMar>
          </w:tcPr>
          <w:p>
            <w:r>
              <w:rPr>
                <w:b w:val="false"/>
                <w:bCs w:val="false"/>
                <w:color w:val="000000"/>
                <w:sz w:val="20"/>
                <w:szCs w:val="20"/>
              </w:rPr>
              <w:t xml:space="preserve">Damals bedeutete ein verpasster Gewinn nur: kein Festmahl. Ein übersehener Verlust wie eine Dürre bedeutete den sicheren Tod.</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0:21–0:29</w:t>
            </w:r>
          </w:p>
        </w:tc>
        <w:tc>
          <w:tcPr>
            <w:tcW w:type="dxa" w:w="4000"/>
            <w:tcMar>
              <w:top w:type="dxa" w:w="80"/>
              <w:left w:type="dxa" w:w="100"/>
              <w:bottom w:type="dxa" w:w="80"/>
              <w:right w:type="dxa" w:w="100"/>
            </w:tcMar>
          </w:tcPr>
          <w:p>
            <w:r>
              <w:rPr>
                <w:b w:val="false"/>
                <w:bCs w:val="false"/>
                <w:color w:val="000000"/>
                <w:sz w:val="20"/>
                <w:szCs w:val="20"/>
              </w:rPr>
              <w:t xml:space="preserve">Eine DNA-Helix dreht sich, im Hintergrund flackern Börsenkurse.</w:t>
            </w:r>
          </w:p>
        </w:tc>
        <w:tc>
          <w:tcPr>
            <w:tcW w:type="dxa" w:w="4050"/>
            <w:tcMar>
              <w:top w:type="dxa" w:w="80"/>
              <w:left w:type="dxa" w:w="100"/>
              <w:bottom w:type="dxa" w:w="80"/>
              <w:right w:type="dxa" w:w="100"/>
            </w:tcMar>
          </w:tcPr>
          <w:p>
            <w:r>
              <w:rPr>
                <w:b w:val="false"/>
                <w:bCs w:val="false"/>
                <w:color w:val="000000"/>
                <w:sz w:val="20"/>
                <w:szCs w:val="20"/>
              </w:rPr>
              <w:t xml:space="preserve">Unser Gehirn ist genetisch auf Verlustangst programmiert. Wir mussten Angst haben, um zu überleben.</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0:29–0:37</w:t>
            </w:r>
          </w:p>
        </w:tc>
        <w:tc>
          <w:tcPr>
            <w:tcW w:type="dxa" w:w="4000"/>
            <w:tcMar>
              <w:top w:type="dxa" w:w="80"/>
              <w:left w:type="dxa" w:w="100"/>
              <w:bottom w:type="dxa" w:w="80"/>
              <w:right w:type="dxa" w:w="100"/>
            </w:tcMar>
          </w:tcPr>
          <w:p>
            <w:r>
              <w:rPr>
                <w:b w:val="false"/>
                <w:bCs w:val="false"/>
                <w:color w:val="000000"/>
                <w:sz w:val="20"/>
                <w:szCs w:val="20"/>
              </w:rPr>
              <w:t xml:space="preserve">Nahaufnahme eines Gesichts, das panisch auf ein Smartphone starrt. Kerzencharts fallen im Hintergrund.</w:t>
            </w:r>
          </w:p>
        </w:tc>
        <w:tc>
          <w:tcPr>
            <w:tcW w:type="dxa" w:w="4050"/>
            <w:tcMar>
              <w:top w:type="dxa" w:w="80"/>
              <w:left w:type="dxa" w:w="100"/>
              <w:bottom w:type="dxa" w:w="80"/>
              <w:right w:type="dxa" w:w="100"/>
            </w:tcMar>
          </w:tcPr>
          <w:p>
            <w:r>
              <w:rPr>
                <w:b w:val="false"/>
                <w:bCs w:val="false"/>
                <w:color w:val="000000"/>
                <w:sz w:val="20"/>
                <w:szCs w:val="20"/>
              </w:rPr>
              <w:t xml:space="preserve">Und genau dieses uralte Überlebensprogramm steuert heute Ihr Verhalten an der Börse.</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0:37–0:45</w:t>
            </w:r>
          </w:p>
        </w:tc>
        <w:tc>
          <w:tcPr>
            <w:tcW w:type="dxa" w:w="4000"/>
            <w:tcMar>
              <w:top w:type="dxa" w:w="80"/>
              <w:left w:type="dxa" w:w="100"/>
              <w:bottom w:type="dxa" w:w="80"/>
              <w:right w:type="dxa" w:w="100"/>
            </w:tcMar>
          </w:tcPr>
          <w:p>
            <w:r>
              <w:rPr>
                <w:b w:val="false"/>
                <w:bCs w:val="false"/>
                <w:color w:val="000000"/>
                <w:sz w:val="20"/>
                <w:szCs w:val="20"/>
              </w:rPr>
              <w:t xml:space="preserve">Zwei Hände tippen panisch auf einer Tastatur. Ein großer roter "Verkaufen"-Button leuchtet auf.</w:t>
            </w:r>
          </w:p>
        </w:tc>
        <w:tc>
          <w:tcPr>
            <w:tcW w:type="dxa" w:w="4050"/>
            <w:tcMar>
              <w:top w:type="dxa" w:w="80"/>
              <w:left w:type="dxa" w:w="100"/>
              <w:bottom w:type="dxa" w:w="80"/>
              <w:right w:type="dxa" w:w="100"/>
            </w:tcMar>
          </w:tcPr>
          <w:p>
            <w:r>
              <w:rPr>
                <w:b w:val="false"/>
                <w:bCs w:val="false"/>
                <w:color w:val="000000"/>
                <w:sz w:val="20"/>
                <w:szCs w:val="20"/>
              </w:rPr>
              <w:t xml:space="preserve">Sobald die Kurse fallen, schaltet das Gehirn vom logischen Denken um auf puren Überlebensmodus: Bloß das Kapital retten!</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0:45–0:53</w:t>
            </w:r>
          </w:p>
        </w:tc>
        <w:tc>
          <w:tcPr>
            <w:tcW w:type="dxa" w:w="4000"/>
            <w:tcMar>
              <w:top w:type="dxa" w:w="80"/>
              <w:left w:type="dxa" w:w="100"/>
              <w:bottom w:type="dxa" w:w="80"/>
              <w:right w:type="dxa" w:w="100"/>
            </w:tcMar>
          </w:tcPr>
          <w:p>
            <w:r>
              <w:rPr>
                <w:b w:val="false"/>
                <w:bCs w:val="false"/>
                <w:color w:val="000000"/>
                <w:sz w:val="20"/>
                <w:szCs w:val="20"/>
              </w:rPr>
              <w:t xml:space="preserve">Ein Eichhörnchen sammelt hektisch Nüsse im Wald. Schnitt auf ein Sparbuch/Depot-Interface.</w:t>
            </w:r>
          </w:p>
        </w:tc>
        <w:tc>
          <w:tcPr>
            <w:tcW w:type="dxa" w:w="4050"/>
            <w:tcMar>
              <w:top w:type="dxa" w:w="80"/>
              <w:left w:type="dxa" w:w="100"/>
              <w:bottom w:type="dxa" w:w="80"/>
              <w:right w:type="dxa" w:w="100"/>
            </w:tcMar>
          </w:tcPr>
          <w:p>
            <w:r>
              <w:rPr>
                <w:b w:val="false"/>
                <w:bCs w:val="false"/>
                <w:color w:val="000000"/>
                <w:sz w:val="20"/>
                <w:szCs w:val="20"/>
              </w:rPr>
              <w:t xml:space="preserve">Das Problem: Wer aus Angst im Tiefpunkt verkauft, zerstört sein Vermögen.</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0:53–1:00</w:t>
            </w:r>
          </w:p>
        </w:tc>
        <w:tc>
          <w:tcPr>
            <w:tcW w:type="dxa" w:w="4000"/>
            <w:tcMar>
              <w:top w:type="dxa" w:w="80"/>
              <w:left w:type="dxa" w:w="100"/>
              <w:bottom w:type="dxa" w:w="80"/>
              <w:right w:type="dxa" w:w="100"/>
            </w:tcMar>
          </w:tcPr>
          <w:p>
            <w:r>
              <w:rPr>
                <w:b w:val="false"/>
                <w:bCs w:val="false"/>
                <w:color w:val="000000"/>
                <w:sz w:val="20"/>
                <w:szCs w:val="20"/>
              </w:rPr>
              <w:t xml:space="preserve">Sprecher blickt in die Kamera. Text: "Warteliste – Teil 3 verpasst du nicht."</w:t>
            </w:r>
          </w:p>
        </w:tc>
        <w:tc>
          <w:tcPr>
            <w:tcW w:type="dxa" w:w="4050"/>
            <w:tcMar>
              <w:top w:type="dxa" w:w="80"/>
              <w:left w:type="dxa" w:w="100"/>
              <w:bottom w:type="dxa" w:w="80"/>
              <w:right w:type="dxa" w:w="100"/>
            </w:tcMar>
          </w:tcPr>
          <w:p>
            <w:r>
              <w:rPr>
                <w:b w:val="false"/>
                <w:bCs w:val="false"/>
                <w:color w:val="000000"/>
                <w:sz w:val="20"/>
                <w:szCs w:val="20"/>
              </w:rPr>
              <w:t xml:space="preserve">Im nächsten Teil zeige ich dir, wie Großanleger diese Angst eiskalt ausnutzen. Trag dich ein, um Teil 3 nicht zu verpassen!</w:t>
            </w:r>
          </w:p>
        </w:tc>
      </w:tr>
    </w:tbl>
    <w:p>
      <w:pPr>
        <w:pStyle w:val="Heading1"/>
        <w:spacing w:after="150" w:before="300"/>
      </w:pPr>
      <w:r>
        <w:t xml:space="preserve">9. Skript Teil 3 – "Der Hundebesitzer-Indikator" (ca. 60 Sek.)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4050"/>
      </w:tblGrid>
      <w:tr>
        <w:tc>
          <w:tcPr>
            <w:tcW w:type="dxa" w:w="1300"/>
            <w:shd w:fill="1F4E5F" w:val="clear"/>
            <w:tcMar>
              <w:top w:type="dxa" w:w="80"/>
              <w:left w:type="dxa" w:w="100"/>
              <w:bottom w:type="dxa" w:w="80"/>
              <w:right w:type="dxa" w:w="100"/>
            </w:tcMar>
          </w:tcPr>
          <w:p>
            <w:r>
              <w:rPr>
                <w:b/>
                <w:bCs/>
                <w:color w:val="FFFFFF"/>
                <w:sz w:val="20"/>
                <w:szCs w:val="20"/>
              </w:rPr>
              <w:t xml:space="preserve">Zeit</w:t>
            </w:r>
          </w:p>
        </w:tc>
        <w:tc>
          <w:tcPr>
            <w:tcW w:type="dxa" w:w="4000"/>
            <w:shd w:fill="1F4E5F" w:val="clear"/>
            <w:tcMar>
              <w:top w:type="dxa" w:w="80"/>
              <w:left w:type="dxa" w:w="100"/>
              <w:bottom w:type="dxa" w:w="80"/>
              <w:right w:type="dxa" w:w="100"/>
            </w:tcMar>
          </w:tcPr>
          <w:p>
            <w:r>
              <w:rPr>
                <w:b/>
                <w:bCs/>
                <w:color w:val="FFFFFF"/>
                <w:sz w:val="20"/>
                <w:szCs w:val="20"/>
              </w:rPr>
              <w:t xml:space="preserve">Visuelle Anweisung (B-Roll / Prompt)</w:t>
            </w:r>
          </w:p>
        </w:tc>
        <w:tc>
          <w:tcPr>
            <w:tcW w:type="dxa" w:w="4050"/>
            <w:shd w:fill="1F4E5F" w:val="clear"/>
            <w:tcMar>
              <w:top w:type="dxa" w:w="80"/>
              <w:left w:type="dxa" w:w="100"/>
              <w:bottom w:type="dxa" w:w="80"/>
              <w:right w:type="dxa" w:w="100"/>
            </w:tcMar>
          </w:tcPr>
          <w:p>
            <w:r>
              <w:rPr>
                <w:b/>
                <w:bCs/>
                <w:color w:val="FFFFFF"/>
                <w:sz w:val="20"/>
                <w:szCs w:val="20"/>
              </w:rPr>
              <w:t xml:space="preserve">Voiceover</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0:00–0:06</w:t>
            </w:r>
          </w:p>
        </w:tc>
        <w:tc>
          <w:tcPr>
            <w:tcW w:type="dxa" w:w="4000"/>
            <w:tcMar>
              <w:top w:type="dxa" w:w="80"/>
              <w:left w:type="dxa" w:w="100"/>
              <w:bottom w:type="dxa" w:w="80"/>
              <w:right w:type="dxa" w:w="100"/>
            </w:tcMar>
          </w:tcPr>
          <w:p>
            <w:r>
              <w:rPr>
                <w:b w:val="false"/>
                <w:bCs w:val="false"/>
                <w:color w:val="000000"/>
                <w:sz w:val="20"/>
                <w:szCs w:val="20"/>
              </w:rPr>
              <w:t xml:space="preserve">Ein Hund läuft freudig im Park. Im Hintergrund vage die Silhouette einer Fabrik.</w:t>
            </w:r>
          </w:p>
        </w:tc>
        <w:tc>
          <w:tcPr>
            <w:tcW w:type="dxa" w:w="4050"/>
            <w:tcMar>
              <w:top w:type="dxa" w:w="80"/>
              <w:left w:type="dxa" w:w="100"/>
              <w:bottom w:type="dxa" w:w="80"/>
              <w:right w:type="dxa" w:w="100"/>
            </w:tcMar>
          </w:tcPr>
          <w:p>
            <w:r>
              <w:rPr>
                <w:b w:val="false"/>
                <w:bCs w:val="false"/>
                <w:color w:val="000000"/>
                <w:sz w:val="20"/>
                <w:szCs w:val="20"/>
              </w:rPr>
              <w:t xml:space="preserve">Wenn die Flut an der Börse kommt, dann hebt sie ausnahmslos alle Schiffe.</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0:06–0:13</w:t>
            </w:r>
          </w:p>
        </w:tc>
        <w:tc>
          <w:tcPr>
            <w:tcW w:type="dxa" w:w="4000"/>
            <w:tcMar>
              <w:top w:type="dxa" w:w="80"/>
              <w:left w:type="dxa" w:w="100"/>
              <w:bottom w:type="dxa" w:w="80"/>
              <w:right w:type="dxa" w:w="100"/>
            </w:tcMar>
          </w:tcPr>
          <w:p>
            <w:r>
              <w:rPr>
                <w:b w:val="false"/>
                <w:bCs w:val="false"/>
                <w:color w:val="000000"/>
                <w:sz w:val="20"/>
                <w:szCs w:val="20"/>
              </w:rPr>
              <w:t xml:space="preserve">Ein Mann geht entspannt mit seinem Hund spazieren, ein Nachbar kommt auf ihn zu und gestikuliert wild.</w:t>
            </w:r>
          </w:p>
        </w:tc>
        <w:tc>
          <w:tcPr>
            <w:tcW w:type="dxa" w:w="4050"/>
            <w:tcMar>
              <w:top w:type="dxa" w:w="80"/>
              <w:left w:type="dxa" w:w="100"/>
              <w:bottom w:type="dxa" w:w="80"/>
              <w:right w:type="dxa" w:w="100"/>
            </w:tcMar>
          </w:tcPr>
          <w:p>
            <w:r>
              <w:rPr>
                <w:b w:val="false"/>
                <w:bCs w:val="false"/>
                <w:color w:val="000000"/>
                <w:sz w:val="20"/>
                <w:szCs w:val="20"/>
              </w:rPr>
              <w:t xml:space="preserve">Im echten Bullenmarkt ist es fast egal, was du kaufst. Alles schießt scheinbar mühelos nach oben.</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0:13–0:21</w:t>
            </w:r>
          </w:p>
        </w:tc>
        <w:tc>
          <w:tcPr>
            <w:tcW w:type="dxa" w:w="4000"/>
            <w:tcMar>
              <w:top w:type="dxa" w:w="80"/>
              <w:left w:type="dxa" w:w="100"/>
              <w:bottom w:type="dxa" w:w="80"/>
              <w:right w:type="dxa" w:w="100"/>
            </w:tcMar>
          </w:tcPr>
          <w:p>
            <w:r>
              <w:rPr>
                <w:b w:val="false"/>
                <w:bCs w:val="false"/>
                <w:color w:val="000000"/>
                <w:sz w:val="20"/>
                <w:szCs w:val="20"/>
              </w:rPr>
              <w:t xml:space="preserve">Ein Smartphone-Bildschirm zeigt eine steile, grüne Kurve eines unbenannten Titels (Platzhalter).</w:t>
            </w:r>
          </w:p>
        </w:tc>
        <w:tc>
          <w:tcPr>
            <w:tcW w:type="dxa" w:w="4050"/>
            <w:tcMar>
              <w:top w:type="dxa" w:w="80"/>
              <w:left w:type="dxa" w:w="100"/>
              <w:bottom w:type="dxa" w:w="80"/>
              <w:right w:type="dxa" w:w="100"/>
            </w:tcMar>
          </w:tcPr>
          <w:p>
            <w:r>
              <w:rPr>
                <w:b w:val="false"/>
                <w:bCs w:val="false"/>
                <w:color w:val="000000"/>
                <w:sz w:val="20"/>
                <w:szCs w:val="20"/>
              </w:rPr>
              <w:t xml:space="preserve">Aber Achtung! Wenn du beim Gassigehen plötzlich von Leuten angesprochen wirst, die sonst nie über Aktien reden...</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0:21–0:29</w:t>
            </w:r>
          </w:p>
        </w:tc>
        <w:tc>
          <w:tcPr>
            <w:tcW w:type="dxa" w:w="4000"/>
            <w:tcMar>
              <w:top w:type="dxa" w:w="80"/>
              <w:left w:type="dxa" w:w="100"/>
              <w:bottom w:type="dxa" w:w="80"/>
              <w:right w:type="dxa" w:w="100"/>
            </w:tcMar>
          </w:tcPr>
          <w:p>
            <w:r>
              <w:rPr>
                <w:b w:val="false"/>
                <w:bCs w:val="false"/>
                <w:color w:val="000000"/>
                <w:sz w:val="20"/>
                <w:szCs w:val="20"/>
              </w:rPr>
              <w:t xml:space="preserve">Ein großes, blinkendes Warnschild "GEFAHR" blendet auf.</w:t>
            </w:r>
          </w:p>
        </w:tc>
        <w:tc>
          <w:tcPr>
            <w:tcW w:type="dxa" w:w="4050"/>
            <w:tcMar>
              <w:top w:type="dxa" w:w="80"/>
              <w:left w:type="dxa" w:w="100"/>
              <w:bottom w:type="dxa" w:w="80"/>
              <w:right w:type="dxa" w:w="100"/>
            </w:tcMar>
          </w:tcPr>
          <w:p>
            <w:r>
              <w:rPr>
                <w:b w:val="false"/>
                <w:bCs w:val="false"/>
                <w:color w:val="000000"/>
                <w:sz w:val="20"/>
                <w:szCs w:val="20"/>
              </w:rPr>
              <w:t xml:space="preserve">...und die dir erklären, dass man jetzt unbedingt genau diesen einen Titel kaufen muss – dann ist das dein finales Warnsignal!</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0:29–0:37</w:t>
            </w:r>
          </w:p>
        </w:tc>
        <w:tc>
          <w:tcPr>
            <w:tcW w:type="dxa" w:w="4000"/>
            <w:tcMar>
              <w:top w:type="dxa" w:w="80"/>
              <w:left w:type="dxa" w:w="100"/>
              <w:bottom w:type="dxa" w:w="80"/>
              <w:right w:type="dxa" w:w="100"/>
            </w:tcMar>
          </w:tcPr>
          <w:p>
            <w:r>
              <w:rPr>
                <w:b w:val="false"/>
                <w:bCs w:val="false"/>
                <w:color w:val="000000"/>
                <w:sz w:val="20"/>
                <w:szCs w:val="20"/>
              </w:rPr>
              <w:t xml:space="preserve">Ein DAX-Chart, der sich oben einpendelt und flacher wird (Seitwärtsbewegung).</w:t>
            </w:r>
          </w:p>
        </w:tc>
        <w:tc>
          <w:tcPr>
            <w:tcW w:type="dxa" w:w="4050"/>
            <w:tcMar>
              <w:top w:type="dxa" w:w="80"/>
              <w:left w:type="dxa" w:w="100"/>
              <w:bottom w:type="dxa" w:w="80"/>
              <w:right w:type="dxa" w:w="100"/>
            </w:tcMar>
          </w:tcPr>
          <w:p>
            <w:r>
              <w:rPr>
                <w:b w:val="false"/>
                <w:bCs w:val="false"/>
                <w:color w:val="000000"/>
                <w:sz w:val="20"/>
                <w:szCs w:val="20"/>
              </w:rPr>
              <w:t xml:space="preserve">Der Markt verliert massiv an Dynamik. Er fängt an auszupendeln. Die breite Masse rennt rein, während die Profis schon gehen.</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0:37–0:45</w:t>
            </w:r>
          </w:p>
        </w:tc>
        <w:tc>
          <w:tcPr>
            <w:tcW w:type="dxa" w:w="4000"/>
            <w:tcMar>
              <w:top w:type="dxa" w:w="80"/>
              <w:left w:type="dxa" w:w="100"/>
              <w:bottom w:type="dxa" w:w="80"/>
              <w:right w:type="dxa" w:w="100"/>
            </w:tcMar>
          </w:tcPr>
          <w:p>
            <w:r>
              <w:rPr>
                <w:b w:val="false"/>
                <w:bCs w:val="false"/>
                <w:color w:val="000000"/>
                <w:sz w:val="20"/>
                <w:szCs w:val="20"/>
              </w:rPr>
              <w:t xml:space="preserve">Ein Porträt-Zitat blendet ein. Großer Text: "Sei vorsichtig, wenn andere gierig sind."</w:t>
            </w:r>
          </w:p>
        </w:tc>
        <w:tc>
          <w:tcPr>
            <w:tcW w:type="dxa" w:w="4050"/>
            <w:tcMar>
              <w:top w:type="dxa" w:w="80"/>
              <w:left w:type="dxa" w:w="100"/>
              <w:bottom w:type="dxa" w:w="80"/>
              <w:right w:type="dxa" w:w="100"/>
            </w:tcMar>
          </w:tcPr>
          <w:p>
            <w:r>
              <w:rPr>
                <w:b w:val="false"/>
                <w:bCs w:val="false"/>
                <w:color w:val="000000"/>
                <w:sz w:val="20"/>
                <w:szCs w:val="20"/>
              </w:rPr>
              <w:t xml:space="preserve">Denk an die alte Börsenweisheit: "Sei gierig, wenn andere Angst haben – und sei vorsichtig, wenn alle anderen gierig werden!"</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0:45–0:53</w:t>
            </w:r>
          </w:p>
        </w:tc>
        <w:tc>
          <w:tcPr>
            <w:tcW w:type="dxa" w:w="4000"/>
            <w:tcMar>
              <w:top w:type="dxa" w:w="80"/>
              <w:left w:type="dxa" w:w="100"/>
              <w:bottom w:type="dxa" w:w="80"/>
              <w:right w:type="dxa" w:w="100"/>
            </w:tcMar>
          </w:tcPr>
          <w:p>
            <w:r>
              <w:rPr>
                <w:b w:val="false"/>
                <w:bCs w:val="false"/>
                <w:color w:val="000000"/>
                <w:sz w:val="20"/>
                <w:szCs w:val="20"/>
              </w:rPr>
              <w:t xml:space="preserve">Der Daumen scrollt durch ein Handy-Display. Text: "Teil 4 nicht verpassen."</w:t>
            </w:r>
          </w:p>
        </w:tc>
        <w:tc>
          <w:tcPr>
            <w:tcW w:type="dxa" w:w="4050"/>
            <w:tcMar>
              <w:top w:type="dxa" w:w="80"/>
              <w:left w:type="dxa" w:w="100"/>
              <w:bottom w:type="dxa" w:w="80"/>
              <w:right w:type="dxa" w:w="100"/>
            </w:tcMar>
          </w:tcPr>
          <w:p>
            <w:r>
              <w:rPr>
                <w:b w:val="false"/>
                <w:bCs w:val="false"/>
                <w:color w:val="000000"/>
                <w:sz w:val="20"/>
                <w:szCs w:val="20"/>
              </w:rPr>
              <w:t xml:space="preserve">Die Gier hat ihren Höhepunkt erreicht. Im nächsten Teil schauen wir uns an, wo im Chart die echten Bruchlinien lauern.</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0:53–1:00</w:t>
            </w:r>
          </w:p>
        </w:tc>
        <w:tc>
          <w:tcPr>
            <w:tcW w:type="dxa" w:w="4000"/>
            <w:tcMar>
              <w:top w:type="dxa" w:w="80"/>
              <w:left w:type="dxa" w:w="100"/>
              <w:bottom w:type="dxa" w:w="80"/>
              <w:right w:type="dxa" w:w="100"/>
            </w:tcMar>
          </w:tcPr>
          <w:p>
            <w:r>
              <w:rPr>
                <w:b w:val="false"/>
                <w:bCs w:val="false"/>
                <w:color w:val="000000"/>
                <w:sz w:val="20"/>
                <w:szCs w:val="20"/>
              </w:rPr>
              <w:t xml:space="preserve">Wartelisten-Hinweis blendet ein.</w:t>
            </w:r>
          </w:p>
        </w:tc>
        <w:tc>
          <w:tcPr>
            <w:tcW w:type="dxa" w:w="4050"/>
            <w:tcMar>
              <w:top w:type="dxa" w:w="80"/>
              <w:left w:type="dxa" w:w="100"/>
              <w:bottom w:type="dxa" w:w="80"/>
              <w:right w:type="dxa" w:w="100"/>
            </w:tcMar>
          </w:tcPr>
          <w:p>
            <w:r>
              <w:rPr>
                <w:b w:val="false"/>
                <w:bCs w:val="false"/>
                <w:color w:val="000000"/>
                <w:sz w:val="20"/>
                <w:szCs w:val="20"/>
              </w:rPr>
              <w:t xml:space="preserve">Trag dich in die Warteliste ein und verpass den rechtzeitigen Absprung nicht – Link in der Bio!</w:t>
            </w:r>
          </w:p>
        </w:tc>
      </w:tr>
    </w:tbl>
    <w:p>
      <w:pPr>
        <w:pStyle w:val="Heading1"/>
        <w:spacing w:after="150" w:before="300"/>
      </w:pPr>
      <w:r>
        <w:t xml:space="preserve">10. Skript Teil 4 – "Die Bruchlinien im DAX" (ca. 60 Sek.)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4050"/>
      </w:tblGrid>
      <w:tr>
        <w:tc>
          <w:tcPr>
            <w:tcW w:type="dxa" w:w="1300"/>
            <w:shd w:fill="1F4E5F" w:val="clear"/>
            <w:tcMar>
              <w:top w:type="dxa" w:w="80"/>
              <w:left w:type="dxa" w:w="100"/>
              <w:bottom w:type="dxa" w:w="80"/>
              <w:right w:type="dxa" w:w="100"/>
            </w:tcMar>
          </w:tcPr>
          <w:p>
            <w:r>
              <w:rPr>
                <w:b/>
                <w:bCs/>
                <w:color w:val="FFFFFF"/>
                <w:sz w:val="20"/>
                <w:szCs w:val="20"/>
              </w:rPr>
              <w:t xml:space="preserve">Zeit</w:t>
            </w:r>
          </w:p>
        </w:tc>
        <w:tc>
          <w:tcPr>
            <w:tcW w:type="dxa" w:w="4000"/>
            <w:shd w:fill="1F4E5F" w:val="clear"/>
            <w:tcMar>
              <w:top w:type="dxa" w:w="80"/>
              <w:left w:type="dxa" w:w="100"/>
              <w:bottom w:type="dxa" w:w="80"/>
              <w:right w:type="dxa" w:w="100"/>
            </w:tcMar>
          </w:tcPr>
          <w:p>
            <w:r>
              <w:rPr>
                <w:b/>
                <w:bCs/>
                <w:color w:val="FFFFFF"/>
                <w:sz w:val="20"/>
                <w:szCs w:val="20"/>
              </w:rPr>
              <w:t xml:space="preserve">Visuelle Anweisung (B-Roll / Prompt)</w:t>
            </w:r>
          </w:p>
        </w:tc>
        <w:tc>
          <w:tcPr>
            <w:tcW w:type="dxa" w:w="4050"/>
            <w:shd w:fill="1F4E5F" w:val="clear"/>
            <w:tcMar>
              <w:top w:type="dxa" w:w="80"/>
              <w:left w:type="dxa" w:w="100"/>
              <w:bottom w:type="dxa" w:w="80"/>
              <w:right w:type="dxa" w:w="100"/>
            </w:tcMar>
          </w:tcPr>
          <w:p>
            <w:r>
              <w:rPr>
                <w:b/>
                <w:bCs/>
                <w:color w:val="FFFFFF"/>
                <w:sz w:val="20"/>
                <w:szCs w:val="20"/>
              </w:rPr>
              <w:t xml:space="preserve">Voiceover</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0:00–0:06</w:t>
            </w:r>
          </w:p>
        </w:tc>
        <w:tc>
          <w:tcPr>
            <w:tcW w:type="dxa" w:w="4000"/>
            <w:tcMar>
              <w:top w:type="dxa" w:w="80"/>
              <w:left w:type="dxa" w:w="100"/>
              <w:bottom w:type="dxa" w:w="80"/>
              <w:right w:type="dxa" w:w="100"/>
            </w:tcMar>
          </w:tcPr>
          <w:p>
            <w:r>
              <w:rPr>
                <w:b w:val="false"/>
                <w:bCs w:val="false"/>
                <w:color w:val="000000"/>
                <w:sz w:val="20"/>
                <w:szCs w:val="20"/>
              </w:rPr>
              <w:t xml:space="preserve">Ein gigantischer Staudamm bekommt Risse. Wasser spritzt heftig durch.</w:t>
            </w:r>
          </w:p>
        </w:tc>
        <w:tc>
          <w:tcPr>
            <w:tcW w:type="dxa" w:w="4050"/>
            <w:tcMar>
              <w:top w:type="dxa" w:w="80"/>
              <w:left w:type="dxa" w:w="100"/>
              <w:bottom w:type="dxa" w:w="80"/>
              <w:right w:type="dxa" w:w="100"/>
            </w:tcMar>
          </w:tcPr>
          <w:p>
            <w:r>
              <w:rPr>
                <w:b w:val="false"/>
                <w:bCs w:val="false"/>
                <w:color w:val="000000"/>
                <w:sz w:val="20"/>
                <w:szCs w:val="20"/>
              </w:rPr>
              <w:t xml:space="preserve">Was passiert eigentlich, wenn die Euphorie an der Börse schlagartig kippt?</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0:06–0:14</w:t>
            </w:r>
          </w:p>
        </w:tc>
        <w:tc>
          <w:tcPr>
            <w:tcW w:type="dxa" w:w="4000"/>
            <w:tcMar>
              <w:top w:type="dxa" w:w="80"/>
              <w:left w:type="dxa" w:w="100"/>
              <w:bottom w:type="dxa" w:w="80"/>
              <w:right w:type="dxa" w:w="100"/>
            </w:tcMar>
          </w:tcPr>
          <w:p>
            <w:r>
              <w:rPr>
                <w:b w:val="false"/>
                <w:bCs w:val="false"/>
                <w:color w:val="000000"/>
                <w:sz w:val="20"/>
                <w:szCs w:val="20"/>
              </w:rPr>
              <w:t xml:space="preserve">Ein professioneller DAX-Chart auf drei Monitoren. Eine dicke rote Linie markiert die "200-Tage-Linie".</w:t>
            </w:r>
          </w:p>
        </w:tc>
        <w:tc>
          <w:tcPr>
            <w:tcW w:type="dxa" w:w="4050"/>
            <w:tcMar>
              <w:top w:type="dxa" w:w="80"/>
              <w:left w:type="dxa" w:w="100"/>
              <w:bottom w:type="dxa" w:w="80"/>
              <w:right w:type="dxa" w:w="100"/>
            </w:tcMar>
          </w:tcPr>
          <w:p>
            <w:r>
              <w:rPr>
                <w:b w:val="false"/>
                <w:bCs w:val="false"/>
                <w:color w:val="000000"/>
                <w:sz w:val="20"/>
                <w:szCs w:val="20"/>
              </w:rPr>
              <w:t xml:space="preserve">In der Charttechnik gibt es ein direktes Äquivalent zu den Hungersteinen: wichtige Unterstützungslinien.</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0:14–0:22</w:t>
            </w:r>
          </w:p>
        </w:tc>
        <w:tc>
          <w:tcPr>
            <w:tcW w:type="dxa" w:w="4000"/>
            <w:tcMar>
              <w:top w:type="dxa" w:w="80"/>
              <w:left w:type="dxa" w:w="100"/>
              <w:bottom w:type="dxa" w:w="80"/>
              <w:right w:type="dxa" w:w="100"/>
            </w:tcMar>
          </w:tcPr>
          <w:p>
            <w:r>
              <w:rPr>
                <w:b w:val="false"/>
                <w:bCs w:val="false"/>
                <w:color w:val="000000"/>
                <w:sz w:val="20"/>
                <w:szCs w:val="20"/>
              </w:rPr>
              <w:t xml:space="preserve">Der DAX-Kurs bricht im Chart nach unten durch die rote Linie aus. Rote Kerzen schießen abwärts.</w:t>
            </w:r>
          </w:p>
        </w:tc>
        <w:tc>
          <w:tcPr>
            <w:tcW w:type="dxa" w:w="4050"/>
            <w:tcMar>
              <w:top w:type="dxa" w:w="80"/>
              <w:left w:type="dxa" w:w="100"/>
              <w:bottom w:type="dxa" w:w="80"/>
              <w:right w:type="dxa" w:w="100"/>
            </w:tcMar>
          </w:tcPr>
          <w:p>
            <w:r>
              <w:rPr>
                <w:b w:val="false"/>
                <w:bCs w:val="false"/>
                <w:color w:val="000000"/>
                <w:sz w:val="20"/>
                <w:szCs w:val="20"/>
              </w:rPr>
              <w:t xml:space="preserve">Solange der Markt steigt, feiert jeder. Doch bricht der DAX bestimmte Marken nach unten durch, werden die Hungersteine sichtbar.</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0:22–0:30</w:t>
            </w:r>
          </w:p>
        </w:tc>
        <w:tc>
          <w:tcPr>
            <w:tcW w:type="dxa" w:w="4000"/>
            <w:tcMar>
              <w:top w:type="dxa" w:w="80"/>
              <w:left w:type="dxa" w:w="100"/>
              <w:bottom w:type="dxa" w:w="80"/>
              <w:right w:type="dxa" w:w="100"/>
            </w:tcMar>
          </w:tcPr>
          <w:p>
            <w:r>
              <w:rPr>
                <w:b w:val="false"/>
                <w:bCs w:val="false"/>
                <w:color w:val="000000"/>
                <w:sz w:val="20"/>
                <w:szCs w:val="20"/>
              </w:rPr>
              <w:t xml:space="preserve">Animation von fallenden Dominosteinen mit der Aufschrift "Stop-Loss".</w:t>
            </w:r>
          </w:p>
        </w:tc>
        <w:tc>
          <w:tcPr>
            <w:tcW w:type="dxa" w:w="4050"/>
            <w:tcMar>
              <w:top w:type="dxa" w:w="80"/>
              <w:left w:type="dxa" w:w="100"/>
              <w:bottom w:type="dxa" w:w="80"/>
              <w:right w:type="dxa" w:w="100"/>
            </w:tcMar>
          </w:tcPr>
          <w:p>
            <w:r>
              <w:rPr>
                <w:b w:val="false"/>
                <w:bCs w:val="false"/>
                <w:color w:val="000000"/>
                <w:sz w:val="20"/>
                <w:szCs w:val="20"/>
              </w:rPr>
              <w:t xml:space="preserve">Jetzt passiert ein Dominoeffekt. Automatische Verkaufsorders werden massenhaft und zeitgleich ausgelöst.</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0:30–0:38</w:t>
            </w:r>
          </w:p>
        </w:tc>
        <w:tc>
          <w:tcPr>
            <w:tcW w:type="dxa" w:w="4000"/>
            <w:tcMar>
              <w:top w:type="dxa" w:w="80"/>
              <w:left w:type="dxa" w:w="100"/>
              <w:bottom w:type="dxa" w:w="80"/>
              <w:right w:type="dxa" w:w="100"/>
            </w:tcMar>
          </w:tcPr>
          <w:p>
            <w:r>
              <w:rPr>
                <w:b w:val="false"/>
                <w:bCs w:val="false"/>
                <w:color w:val="000000"/>
                <w:sz w:val="20"/>
                <w:szCs w:val="20"/>
              </w:rPr>
              <w:t xml:space="preserve">Ein Mann starrt panisch auf sein rot leuchtendes Depot auf dem Smartphone.</w:t>
            </w:r>
          </w:p>
        </w:tc>
        <w:tc>
          <w:tcPr>
            <w:tcW w:type="dxa" w:w="4050"/>
            <w:tcMar>
              <w:top w:type="dxa" w:w="80"/>
              <w:left w:type="dxa" w:w="100"/>
              <w:bottom w:type="dxa" w:w="80"/>
              <w:right w:type="dxa" w:w="100"/>
            </w:tcMar>
          </w:tcPr>
          <w:p>
            <w:r>
              <w:rPr>
                <w:b w:val="false"/>
                <w:bCs w:val="false"/>
                <w:color w:val="000000"/>
                <w:sz w:val="20"/>
                <w:szCs w:val="20"/>
              </w:rPr>
              <w:t xml:space="preserve">Privatanleger geraten in nackte Panik. Die Verlustaversion aus der Steinzeit schlägt mit voller Härte zu.</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0:38–0:46</w:t>
            </w:r>
          </w:p>
        </w:tc>
        <w:tc>
          <w:tcPr>
            <w:tcW w:type="dxa" w:w="4000"/>
            <w:tcMar>
              <w:top w:type="dxa" w:w="80"/>
              <w:left w:type="dxa" w:w="100"/>
              <w:bottom w:type="dxa" w:w="80"/>
              <w:right w:type="dxa" w:w="100"/>
            </w:tcMar>
          </w:tcPr>
          <w:p>
            <w:r>
              <w:rPr>
                <w:b w:val="false"/>
                <w:bCs w:val="false"/>
                <w:color w:val="000000"/>
                <w:sz w:val="20"/>
                <w:szCs w:val="20"/>
              </w:rPr>
              <w:t xml:space="preserve">Ein herabstürzender Fahrstuhl im freien Fall.</w:t>
            </w:r>
          </w:p>
        </w:tc>
        <w:tc>
          <w:tcPr>
            <w:tcW w:type="dxa" w:w="4050"/>
            <w:tcMar>
              <w:top w:type="dxa" w:w="80"/>
              <w:left w:type="dxa" w:w="100"/>
              <w:bottom w:type="dxa" w:w="80"/>
              <w:right w:type="dxa" w:w="100"/>
            </w:tcMar>
          </w:tcPr>
          <w:p>
            <w:r>
              <w:rPr>
                <w:b w:val="false"/>
                <w:bCs w:val="false"/>
                <w:color w:val="000000"/>
                <w:sz w:val="20"/>
                <w:szCs w:val="20"/>
              </w:rPr>
              <w:t xml:space="preserve">Weil Angst ein viel stärkerer Treiber ist als Gier, stürzen die Kurse im Keller dreimal schneller, als sie gestiegen sind.</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0:46–0:54</w:t>
            </w:r>
          </w:p>
        </w:tc>
        <w:tc>
          <w:tcPr>
            <w:tcW w:type="dxa" w:w="4000"/>
            <w:tcMar>
              <w:top w:type="dxa" w:w="80"/>
              <w:left w:type="dxa" w:w="100"/>
              <w:bottom w:type="dxa" w:w="80"/>
              <w:right w:type="dxa" w:w="100"/>
            </w:tcMar>
          </w:tcPr>
          <w:p>
            <w:r>
              <w:rPr>
                <w:b w:val="false"/>
                <w:bCs w:val="false"/>
                <w:color w:val="000000"/>
                <w:sz w:val="20"/>
                <w:szCs w:val="20"/>
              </w:rPr>
              <w:t xml:space="preserve">Ein Rettungsring wird ins Wasser geworfen.</w:t>
            </w:r>
          </w:p>
        </w:tc>
        <w:tc>
          <w:tcPr>
            <w:tcW w:type="dxa" w:w="4050"/>
            <w:tcMar>
              <w:top w:type="dxa" w:w="80"/>
              <w:left w:type="dxa" w:w="100"/>
              <w:bottom w:type="dxa" w:w="80"/>
              <w:right w:type="dxa" w:w="100"/>
            </w:tcMar>
          </w:tcPr>
          <w:p>
            <w:r>
              <w:rPr>
                <w:b w:val="false"/>
                <w:bCs w:val="false"/>
                <w:color w:val="000000"/>
                <w:sz w:val="20"/>
                <w:szCs w:val="20"/>
              </w:rPr>
              <w:t xml:space="preserve">Der Markt rutscht in bestimmten Bereichen völlig ungebremst durch. Du musst wissen, wo diese Linien liegen.</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0:54–1:00</w:t>
            </w:r>
          </w:p>
        </w:tc>
        <w:tc>
          <w:tcPr>
            <w:tcW w:type="dxa" w:w="4000"/>
            <w:tcMar>
              <w:top w:type="dxa" w:w="80"/>
              <w:left w:type="dxa" w:w="100"/>
              <w:bottom w:type="dxa" w:w="80"/>
              <w:right w:type="dxa" w:w="100"/>
            </w:tcMar>
          </w:tcPr>
          <w:p>
            <w:r>
              <w:rPr>
                <w:b w:val="false"/>
                <w:bCs w:val="false"/>
                <w:color w:val="000000"/>
                <w:sz w:val="20"/>
                <w:szCs w:val="20"/>
              </w:rPr>
              <w:t xml:space="preserve">Wartelisten-Hinweis blendet ein.</w:t>
            </w:r>
          </w:p>
        </w:tc>
        <w:tc>
          <w:tcPr>
            <w:tcW w:type="dxa" w:w="4050"/>
            <w:tcMar>
              <w:top w:type="dxa" w:w="80"/>
              <w:left w:type="dxa" w:w="100"/>
              <w:bottom w:type="dxa" w:w="80"/>
              <w:right w:type="dxa" w:w="100"/>
            </w:tcMar>
          </w:tcPr>
          <w:p>
            <w:r>
              <w:rPr>
                <w:b w:val="false"/>
                <w:bCs w:val="false"/>
                <w:color w:val="000000"/>
                <w:sz w:val="20"/>
                <w:szCs w:val="20"/>
              </w:rPr>
              <w:t xml:space="preserve">Wie du dein Depot kugelsicher machst, erfährst du im finalen Teil 5. Trag dich jetzt in die Warteliste ein, um ihn nicht zu verpassen!</w:t>
            </w:r>
          </w:p>
        </w:tc>
      </w:tr>
    </w:tbl>
    <w:p>
      <w:pPr>
        <w:pStyle w:val="Heading1"/>
        <w:spacing w:after="150" w:before="300"/>
      </w:pPr>
      <w:r>
        <w:t xml:space="preserve">11. Skript Teil 5 – "Der Depot-Rettungsplan" (ca. 60 Sek.)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4050"/>
      </w:tblGrid>
      <w:tr>
        <w:tc>
          <w:tcPr>
            <w:tcW w:type="dxa" w:w="1300"/>
            <w:shd w:fill="1F4E5F" w:val="clear"/>
            <w:tcMar>
              <w:top w:type="dxa" w:w="80"/>
              <w:left w:type="dxa" w:w="100"/>
              <w:bottom w:type="dxa" w:w="80"/>
              <w:right w:type="dxa" w:w="100"/>
            </w:tcMar>
          </w:tcPr>
          <w:p>
            <w:r>
              <w:rPr>
                <w:b/>
                <w:bCs/>
                <w:color w:val="FFFFFF"/>
                <w:sz w:val="20"/>
                <w:szCs w:val="20"/>
              </w:rPr>
              <w:t xml:space="preserve">Zeit</w:t>
            </w:r>
          </w:p>
        </w:tc>
        <w:tc>
          <w:tcPr>
            <w:tcW w:type="dxa" w:w="4000"/>
            <w:shd w:fill="1F4E5F" w:val="clear"/>
            <w:tcMar>
              <w:top w:type="dxa" w:w="80"/>
              <w:left w:type="dxa" w:w="100"/>
              <w:bottom w:type="dxa" w:w="80"/>
              <w:right w:type="dxa" w:w="100"/>
            </w:tcMar>
          </w:tcPr>
          <w:p>
            <w:r>
              <w:rPr>
                <w:b/>
                <w:bCs/>
                <w:color w:val="FFFFFF"/>
                <w:sz w:val="20"/>
                <w:szCs w:val="20"/>
              </w:rPr>
              <w:t xml:space="preserve">Visuelle Anweisung (B-Roll / Prompt)</w:t>
            </w:r>
          </w:p>
        </w:tc>
        <w:tc>
          <w:tcPr>
            <w:tcW w:type="dxa" w:w="4050"/>
            <w:shd w:fill="1F4E5F" w:val="clear"/>
            <w:tcMar>
              <w:top w:type="dxa" w:w="80"/>
              <w:left w:type="dxa" w:w="100"/>
              <w:bottom w:type="dxa" w:w="80"/>
              <w:right w:type="dxa" w:w="100"/>
            </w:tcMar>
          </w:tcPr>
          <w:p>
            <w:r>
              <w:rPr>
                <w:b/>
                <w:bCs/>
                <w:color w:val="FFFFFF"/>
                <w:sz w:val="20"/>
                <w:szCs w:val="20"/>
              </w:rPr>
              <w:t xml:space="preserve">Voiceover</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0:00–0:06</w:t>
            </w:r>
          </w:p>
        </w:tc>
        <w:tc>
          <w:tcPr>
            <w:tcW w:type="dxa" w:w="4000"/>
            <w:tcMar>
              <w:top w:type="dxa" w:w="80"/>
              <w:left w:type="dxa" w:w="100"/>
              <w:bottom w:type="dxa" w:w="80"/>
              <w:right w:type="dxa" w:w="100"/>
            </w:tcMar>
          </w:tcPr>
          <w:p>
            <w:r>
              <w:rPr>
                <w:b w:val="false"/>
                <w:bCs w:val="false"/>
                <w:color w:val="000000"/>
                <w:sz w:val="20"/>
                <w:szCs w:val="20"/>
              </w:rPr>
              <w:t xml:space="preserve">Ein Pilot im Cockpit zieht ruhig an den Hebeln, um das Flugzeug abzufangen.</w:t>
            </w:r>
          </w:p>
        </w:tc>
        <w:tc>
          <w:tcPr>
            <w:tcW w:type="dxa" w:w="4050"/>
            <w:tcMar>
              <w:top w:type="dxa" w:w="80"/>
              <w:left w:type="dxa" w:w="100"/>
              <w:bottom w:type="dxa" w:w="80"/>
              <w:right w:type="dxa" w:w="100"/>
            </w:tcMar>
          </w:tcPr>
          <w:p>
            <w:r>
              <w:rPr>
                <w:b w:val="false"/>
                <w:bCs w:val="false"/>
                <w:color w:val="000000"/>
                <w:sz w:val="20"/>
                <w:szCs w:val="20"/>
              </w:rPr>
              <w:t xml:space="preserve">Wenn der Markt auspendelt und die Angst regiert: Wie verhältst du dich jetzt richtig?</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0:06–0:14</w:t>
            </w:r>
          </w:p>
        </w:tc>
        <w:tc>
          <w:tcPr>
            <w:tcW w:type="dxa" w:w="4000"/>
            <w:tcMar>
              <w:top w:type="dxa" w:w="80"/>
              <w:left w:type="dxa" w:w="100"/>
              <w:bottom w:type="dxa" w:w="80"/>
              <w:right w:type="dxa" w:w="100"/>
            </w:tcMar>
          </w:tcPr>
          <w:p>
            <w:r>
              <w:rPr>
                <w:b w:val="false"/>
                <w:bCs w:val="false"/>
                <w:color w:val="000000"/>
                <w:sz w:val="20"/>
                <w:szCs w:val="20"/>
              </w:rPr>
              <w:t xml:space="preserve">Geldscheine werden metaphorisch in einen Safe gelegt.</w:t>
            </w:r>
          </w:p>
        </w:tc>
        <w:tc>
          <w:tcPr>
            <w:tcW w:type="dxa" w:w="4050"/>
            <w:tcMar>
              <w:top w:type="dxa" w:w="80"/>
              <w:left w:type="dxa" w:w="100"/>
              <w:bottom w:type="dxa" w:w="80"/>
              <w:right w:type="dxa" w:w="100"/>
            </w:tcMar>
          </w:tcPr>
          <w:p>
            <w:r>
              <w:rPr>
                <w:b w:val="false"/>
                <w:bCs w:val="false"/>
                <w:color w:val="000000"/>
                <w:sz w:val="20"/>
                <w:szCs w:val="20"/>
              </w:rPr>
              <w:t xml:space="preserve">Schritt eins: Gewinne sichern. Nutze die aktuelle Phase der Gier, um extrem gut gelaufene Titel teilweise zu verkaufen.</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0:14–0:22</w:t>
            </w:r>
          </w:p>
        </w:tc>
        <w:tc>
          <w:tcPr>
            <w:tcW w:type="dxa" w:w="4000"/>
            <w:tcMar>
              <w:top w:type="dxa" w:w="80"/>
              <w:left w:type="dxa" w:w="100"/>
              <w:bottom w:type="dxa" w:w="80"/>
              <w:right w:type="dxa" w:w="100"/>
            </w:tcMar>
          </w:tcPr>
          <w:p>
            <w:r>
              <w:rPr>
                <w:b w:val="false"/>
                <w:bCs w:val="false"/>
                <w:color w:val="000000"/>
                <w:sz w:val="20"/>
                <w:szCs w:val="20"/>
              </w:rPr>
              <w:t xml:space="preserve">Ein Schloss rastet an einer Kette ein. Text: "Stop-Loss nachziehen".</w:t>
            </w:r>
          </w:p>
        </w:tc>
        <w:tc>
          <w:tcPr>
            <w:tcW w:type="dxa" w:w="4050"/>
            <w:tcMar>
              <w:top w:type="dxa" w:w="80"/>
              <w:left w:type="dxa" w:w="100"/>
              <w:bottom w:type="dxa" w:w="80"/>
              <w:right w:type="dxa" w:w="100"/>
            </w:tcMar>
          </w:tcPr>
          <w:p>
            <w:r>
              <w:rPr>
                <w:b w:val="false"/>
                <w:bCs w:val="false"/>
                <w:color w:val="000000"/>
                <w:sz w:val="20"/>
                <w:szCs w:val="20"/>
              </w:rPr>
              <w:t xml:space="preserve">Schritt zwei: Zieh konsequent deine Stop-Loss-Marken nach. Schütze dein Kapital vor dem emotionalen Crash der Masse.</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0:22–0:30</w:t>
            </w:r>
          </w:p>
        </w:tc>
        <w:tc>
          <w:tcPr>
            <w:tcW w:type="dxa" w:w="4000"/>
            <w:tcMar>
              <w:top w:type="dxa" w:w="80"/>
              <w:left w:type="dxa" w:w="100"/>
              <w:bottom w:type="dxa" w:w="80"/>
              <w:right w:type="dxa" w:w="100"/>
            </w:tcMar>
          </w:tcPr>
          <w:p>
            <w:r>
              <w:rPr>
                <w:b w:val="false"/>
                <w:bCs w:val="false"/>
                <w:color w:val="000000"/>
                <w:sz w:val="20"/>
                <w:szCs w:val="20"/>
              </w:rPr>
              <w:t xml:space="preserve">Eine Rakete startet majestätisch in den Nachthimmel.</w:t>
            </w:r>
          </w:p>
        </w:tc>
        <w:tc>
          <w:tcPr>
            <w:tcW w:type="dxa" w:w="4050"/>
            <w:tcMar>
              <w:top w:type="dxa" w:w="80"/>
              <w:left w:type="dxa" w:w="100"/>
              <w:bottom w:type="dxa" w:w="80"/>
              <w:right w:type="dxa" w:w="100"/>
            </w:tcMar>
          </w:tcPr>
          <w:p>
            <w:r>
              <w:rPr>
                <w:b w:val="false"/>
                <w:bCs w:val="false"/>
                <w:color w:val="000000"/>
                <w:sz w:val="20"/>
                <w:szCs w:val="20"/>
              </w:rPr>
              <w:t xml:space="preserve">Aber Achtung: Lege die echten Raketen in deinem Depot nicht komplett still!</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0:30–0:38</w:t>
            </w:r>
          </w:p>
        </w:tc>
        <w:tc>
          <w:tcPr>
            <w:tcW w:type="dxa" w:w="4000"/>
            <w:tcMar>
              <w:top w:type="dxa" w:w="80"/>
              <w:left w:type="dxa" w:w="100"/>
              <w:bottom w:type="dxa" w:w="80"/>
              <w:right w:type="dxa" w:w="100"/>
            </w:tcMar>
          </w:tcPr>
          <w:p>
            <w:r>
              <w:rPr>
                <w:b w:val="false"/>
                <w:bCs w:val="false"/>
                <w:color w:val="000000"/>
                <w:sz w:val="20"/>
                <w:szCs w:val="20"/>
              </w:rPr>
              <w:t xml:space="preserve">Ein Sicherheitsgurt wird im Auto festgeschnallt.</w:t>
            </w:r>
          </w:p>
        </w:tc>
        <w:tc>
          <w:tcPr>
            <w:tcW w:type="dxa" w:w="4050"/>
            <w:tcMar>
              <w:top w:type="dxa" w:w="80"/>
              <w:left w:type="dxa" w:w="100"/>
              <w:bottom w:type="dxa" w:w="80"/>
              <w:right w:type="dxa" w:w="100"/>
            </w:tcMar>
          </w:tcPr>
          <w:p>
            <w:r>
              <w:rPr>
                <w:b w:val="false"/>
                <w:bCs w:val="false"/>
                <w:color w:val="000000"/>
                <w:sz w:val="20"/>
                <w:szCs w:val="20"/>
              </w:rPr>
              <w:t xml:space="preserve">Aktien mit starker fundamentaler Story dürfen weiterlaufen – aber eben nur noch mit eingebautem Sicherheitsgurt.</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0:38–0:46</w:t>
            </w:r>
          </w:p>
        </w:tc>
        <w:tc>
          <w:tcPr>
            <w:tcW w:type="dxa" w:w="4000"/>
            <w:tcMar>
              <w:top w:type="dxa" w:w="80"/>
              <w:left w:type="dxa" w:w="100"/>
              <w:bottom w:type="dxa" w:w="80"/>
              <w:right w:type="dxa" w:w="100"/>
            </w:tcMar>
          </w:tcPr>
          <w:p>
            <w:r>
              <w:rPr>
                <w:b w:val="false"/>
                <w:bCs w:val="false"/>
                <w:color w:val="000000"/>
                <w:sz w:val="20"/>
                <w:szCs w:val="20"/>
              </w:rPr>
              <w:t xml:space="preserve">Ein Flussbett, in dem das Wasser langsam wieder steigt und die Steine bedeckt.</w:t>
            </w:r>
          </w:p>
        </w:tc>
        <w:tc>
          <w:tcPr>
            <w:tcW w:type="dxa" w:w="4050"/>
            <w:tcMar>
              <w:top w:type="dxa" w:w="80"/>
              <w:left w:type="dxa" w:w="100"/>
              <w:bottom w:type="dxa" w:w="80"/>
              <w:right w:type="dxa" w:w="100"/>
            </w:tcMar>
          </w:tcPr>
          <w:p>
            <w:r>
              <w:rPr>
                <w:b w:val="false"/>
                <w:bCs w:val="false"/>
                <w:color w:val="000000"/>
                <w:sz w:val="20"/>
                <w:szCs w:val="20"/>
              </w:rPr>
              <w:t xml:space="preserve">Die Börse baut keine Wohlstands-Steine. Wer die Bruchlinien kennt, wird nicht mitgerissen.</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0:46–0:54</w:t>
            </w:r>
          </w:p>
        </w:tc>
        <w:tc>
          <w:tcPr>
            <w:tcW w:type="dxa" w:w="4000"/>
            <w:tcMar>
              <w:top w:type="dxa" w:w="80"/>
              <w:left w:type="dxa" w:w="100"/>
              <w:bottom w:type="dxa" w:w="80"/>
              <w:right w:type="dxa" w:w="100"/>
            </w:tcMar>
          </w:tcPr>
          <w:p>
            <w:r>
              <w:rPr>
                <w:b w:val="false"/>
                <w:bCs w:val="false"/>
                <w:color w:val="000000"/>
                <w:sz w:val="20"/>
                <w:szCs w:val="20"/>
              </w:rPr>
              <w:t xml:space="preserve">Ein sauber gestalteter Laptop-Bildschirm zeigt eine Warteliste-Anmeldeseite (nicht die fertige Website).</w:t>
            </w:r>
          </w:p>
        </w:tc>
        <w:tc>
          <w:tcPr>
            <w:tcW w:type="dxa" w:w="4050"/>
            <w:tcMar>
              <w:top w:type="dxa" w:w="80"/>
              <w:left w:type="dxa" w:w="100"/>
              <w:bottom w:type="dxa" w:w="80"/>
              <w:right w:type="dxa" w:w="100"/>
            </w:tcMar>
          </w:tcPr>
          <w:p>
            <w:r>
              <w:rPr>
                <w:b w:val="false"/>
                <w:bCs w:val="false"/>
                <w:color w:val="000000"/>
                <w:sz w:val="20"/>
                <w:szCs w:val="20"/>
              </w:rPr>
              <w:t xml:space="preserve">Willst du lernen, wie du die Meilensteine der Märkte liest, bevor es zu spät ist?</w:t>
            </w:r>
          </w:p>
        </w:tc>
      </w:tr>
      <w:tr>
        <w:tc>
          <w:tcPr>
            <w:tcW w:type="dxa" w:w="1300"/>
            <w:shd w:fill="EAF1F3" w:val="clear"/>
            <w:tcMar>
              <w:top w:type="dxa" w:w="80"/>
              <w:left w:type="dxa" w:w="100"/>
              <w:bottom w:type="dxa" w:w="80"/>
              <w:right w:type="dxa" w:w="100"/>
            </w:tcMar>
          </w:tcPr>
          <w:p>
            <w:r>
              <w:rPr>
                <w:b w:val="false"/>
                <w:bCs w:val="false"/>
                <w:color w:val="000000"/>
                <w:sz w:val="20"/>
                <w:szCs w:val="20"/>
              </w:rPr>
              <w:t xml:space="preserve">0:54–1:00</w:t>
            </w:r>
          </w:p>
        </w:tc>
        <w:tc>
          <w:tcPr>
            <w:tcW w:type="dxa" w:w="4000"/>
            <w:tcMar>
              <w:top w:type="dxa" w:w="80"/>
              <w:left w:type="dxa" w:w="100"/>
              <w:bottom w:type="dxa" w:w="80"/>
              <w:right w:type="dxa" w:w="100"/>
            </w:tcMar>
          </w:tcPr>
          <w:p>
            <w:r>
              <w:rPr>
                <w:b w:val="false"/>
                <w:bCs w:val="false"/>
                <w:color w:val="000000"/>
                <w:sz w:val="20"/>
                <w:szCs w:val="20"/>
              </w:rPr>
              <w:t xml:space="preserve">Große Einblendung von Domain + Claim + Hinweis "Start 01.01."</w:t>
            </w:r>
          </w:p>
        </w:tc>
        <w:tc>
          <w:tcPr>
            <w:tcW w:type="dxa" w:w="4050"/>
            <w:tcMar>
              <w:top w:type="dxa" w:w="80"/>
              <w:left w:type="dxa" w:w="100"/>
              <w:bottom w:type="dxa" w:w="80"/>
              <w:right w:type="dxa" w:w="100"/>
            </w:tcMar>
          </w:tcPr>
          <w:p>
            <w:r>
              <w:rPr>
                <w:b w:val="false"/>
                <w:bCs w:val="false"/>
                <w:color w:val="000000"/>
                <w:sz w:val="20"/>
                <w:szCs w:val="20"/>
              </w:rPr>
              <w:t xml:space="preserve">Trag dich jetzt in die Warteliste ein und sei am Starttag als Erster dabei. Link in der Bio!</w:t>
            </w:r>
          </w:p>
        </w:tc>
      </w:tr>
    </w:tbl>
    <w:p>
      <w:pPr>
        <w:pStyle w:val="Heading1"/>
        <w:spacing w:after="150" w:before="300"/>
      </w:pPr>
      <w:r>
        <w:t xml:space="preserve">12. Hinweise zur Produktion</w:t>
      </w:r>
    </w:p>
    <w:p>
      <w:pPr>
        <w:pStyle w:val="ListParagraph"/>
        <w:numPr>
          <w:ilvl w:val="0"/>
          <w:numId w:val="1"/>
        </w:numPr>
        <w:spacing w:after="80"/>
      </w:pPr>
      <w:r>
        <w:rPr>
          <w:b w:val="false"/>
          <w:bCs w:val="false"/>
        </w:rPr>
        <w:t xml:space="preserve">Skript zeilenweise in die Video-KI (z. B. InVideo AI) kopieren: "Erstelle ein YouTube Short, nutze diese Struktur für Text und Bildübergänge."</w:t>
      </w:r>
    </w:p>
    <w:p>
      <w:pPr>
        <w:pStyle w:val="ListParagraph"/>
        <w:numPr>
          <w:ilvl w:val="0"/>
          <w:numId w:val="1"/>
        </w:numPr>
        <w:spacing w:after="80"/>
      </w:pPr>
      <w:r>
        <w:rPr>
          <w:b w:val="false"/>
          <w:bCs w:val="false"/>
        </w:rPr>
        <w:t xml:space="preserve">Stimme: männlich, ruhig-ernst, dynamisch ("Deep corporate / Financial narrator"-Charakter), erhöht die psychologische Wirkung der Warnung.</w:t>
      </w:r>
    </w:p>
    <w:p>
      <w:pPr>
        <w:pStyle w:val="ListParagraph"/>
        <w:numPr>
          <w:ilvl w:val="0"/>
          <w:numId w:val="1"/>
        </w:numPr>
        <w:spacing w:after="80"/>
      </w:pPr>
      <w:r>
        <w:rPr>
          <w:b w:val="false"/>
          <w:bCs w:val="false"/>
        </w:rPr>
        <w:t xml:space="preserve">In der Videobeschreibung jeweils: Warteliste-Link + kurzer Disclaminer (keine Anlageberatung).</w:t>
      </w:r>
    </w:p>
    <w:p>
      <w:pPr>
        <w:pStyle w:val="ListParagraph"/>
        <w:numPr>
          <w:ilvl w:val="0"/>
          <w:numId w:val="1"/>
        </w:numPr>
        <w:spacing w:after="80"/>
      </w:pPr>
      <w:r>
        <w:rPr>
          <w:b w:val="false"/>
          <w:bCs w:val="false"/>
        </w:rPr>
        <w:t xml:space="preserve">Kein Aktien-Name mehr im Skript – bei Bedarf im Bild nur ein generischer, unlesbarer Kurs-Screenshot ohne erkennbares Tickersymbol verwenden.</w:t>
      </w:r>
    </w:p>
    <w:p>
      <w:pPr>
        <w:pStyle w:val="Heading1"/>
        <w:spacing w:after="150" w:before="300"/>
      </w:pPr>
      <w:r>
        <w:t xml:space="preserve">13. Marken- und Namensstrategie (Update)</w:t>
      </w:r>
    </w:p>
    <w:p>
      <w:pPr>
        <w:spacing w:after="120"/>
      </w:pPr>
      <w:r>
        <w:t xml:space="preserve">Die Wortmarke "Finanz-Ritual" ist beim DPMA bereits angemeldet (Bearbeitungsdauer bis zur Eintragung ca. 4 Monate). Wichtige Konsequenzen:</w:t>
      </w:r>
    </w:p>
    <w:p>
      <w:pPr>
        <w:pStyle w:val="ListParagraph"/>
        <w:numPr>
          <w:ilvl w:val="0"/>
          <w:numId w:val="1"/>
        </w:numPr>
        <w:spacing w:after="80"/>
      </w:pPr>
      <w:r>
        <w:rPr>
          <w:b w:val="false"/>
          <w:bCs w:val="false"/>
        </w:rPr>
        <w:t xml:space="preserve">Die Anmeldung selbst sichert bereits einen Prioritätszeitrang (§ 6 MarkenG) – Social-Media-Kanäle können schon jetzt unter dem Namen angelegt werden, ohne auf die formale Eintragung zu warten.</w:t>
      </w:r>
    </w:p>
    <w:p>
      <w:pPr>
        <w:pStyle w:val="ListParagraph"/>
        <w:numPr>
          <w:ilvl w:val="0"/>
          <w:numId w:val="1"/>
        </w:numPr>
        <w:spacing w:after="80"/>
      </w:pPr>
      <w:r>
        <w:rPr>
          <w:b w:val="false"/>
          <w:bCs w:val="false"/>
        </w:rPr>
        <w:t xml:space="preserve">Bis zur Eintragung kein ® verwenden, allenfalls "™" (in Deutschland rechtlich nicht bindend, aber üblich).</w:t>
      </w:r>
    </w:p>
    <w:p>
      <w:pPr>
        <w:pStyle w:val="ListParagraph"/>
        <w:numPr>
          <w:ilvl w:val="0"/>
          <w:numId w:val="1"/>
        </w:numPr>
        <w:spacing w:after="80"/>
      </w:pPr>
      <w:r>
        <w:rPr>
          <w:b w:val="false"/>
          <w:bCs w:val="false"/>
        </w:rPr>
        <w:t xml:space="preserve">Nach Veröffentlichung im Markenblatt läuft eine 3-monatige Widerspruchsfrist Dritter – unwahrscheinlich, aber im Hinterkopf behalten; kein Grund, die Kampagne zu verzögern.</w:t>
      </w:r>
    </w:p>
    <w:p>
      <w:pPr>
        <w:pStyle w:val="ListParagraph"/>
        <w:numPr>
          <w:ilvl w:val="0"/>
          <w:numId w:val="1"/>
        </w:numPr>
        <w:spacing w:after="80"/>
      </w:pPr>
      <w:r>
        <w:rPr>
          <w:b w:val="false"/>
          <w:bCs w:val="false"/>
        </w:rPr>
        <w:t xml:space="preserve">Alle Kanäle (TikTok, YouTube, Instagram, LinkedIn, optional X/Threads/Facebook) sollen denselben Handle tragen. Vor dem Anlegen: Verfügbarkeit auf allen Ziel-Plattformen parallel prüfen, damit keine Plattform einen abweichenden Namen erzwingt.</w:t>
      </w:r>
    </w:p>
    <w:p>
      <w:pPr>
        <w:pStyle w:val="Heading1"/>
        <w:spacing w:after="150" w:before="300"/>
      </w:pPr>
      <w:r>
        <w:t xml:space="preserve">14. Gesamt-Fahrplan (chronologisch)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5150"/>
        <w:gridCol w:w="2300"/>
      </w:tblGrid>
      <w:tr>
        <w:tc>
          <w:tcPr>
            <w:tcW w:type="dxa" w:w="1900"/>
            <w:shd w:fill="1F4E5F" w:val="clear"/>
            <w:tcMar>
              <w:top w:type="dxa" w:w="80"/>
              <w:left w:type="dxa" w:w="100"/>
              <w:bottom w:type="dxa" w:w="80"/>
              <w:right w:type="dxa" w:w="100"/>
            </w:tcMar>
          </w:tcPr>
          <w:p>
            <w:r>
              <w:rPr>
                <w:b/>
                <w:bCs/>
                <w:color w:val="FFFFFF"/>
                <w:sz w:val="20"/>
                <w:szCs w:val="20"/>
              </w:rPr>
              <w:t xml:space="preserve">Zeitpunkt</w:t>
            </w:r>
          </w:p>
        </w:tc>
        <w:tc>
          <w:tcPr>
            <w:tcW w:type="dxa" w:w="5150"/>
            <w:shd w:fill="1F4E5F" w:val="clear"/>
            <w:tcMar>
              <w:top w:type="dxa" w:w="80"/>
              <w:left w:type="dxa" w:w="100"/>
              <w:bottom w:type="dxa" w:w="80"/>
              <w:right w:type="dxa" w:w="100"/>
            </w:tcMar>
          </w:tcPr>
          <w:p>
            <w:r>
              <w:rPr>
                <w:b/>
                <w:bCs/>
                <w:color w:val="FFFFFF"/>
                <w:sz w:val="20"/>
                <w:szCs w:val="20"/>
              </w:rPr>
              <w:t xml:space="preserve">Aktion</w:t>
            </w:r>
          </w:p>
        </w:tc>
        <w:tc>
          <w:tcPr>
            <w:tcW w:type="dxa" w:w="2300"/>
            <w:shd w:fill="1F4E5F" w:val="clear"/>
            <w:tcMar>
              <w:top w:type="dxa" w:w="80"/>
              <w:left w:type="dxa" w:w="100"/>
              <w:bottom w:type="dxa" w:w="80"/>
              <w:right w:type="dxa" w:w="100"/>
            </w:tcMar>
          </w:tcPr>
          <w:p>
            <w:r>
              <w:rPr>
                <w:b/>
                <w:bCs/>
                <w:color w:val="FFFFFF"/>
                <w:sz w:val="20"/>
                <w:szCs w:val="20"/>
              </w:rPr>
              <w:t xml:space="preserve">Hinweis</w:t>
            </w:r>
          </w:p>
        </w:tc>
      </w:tr>
      <w:tr>
        <w:tc>
          <w:tcPr>
            <w:tcW w:type="dxa" w:w="1900"/>
            <w:shd w:fill="EAF1F3" w:val="clear"/>
            <w:tcMar>
              <w:top w:type="dxa" w:w="80"/>
              <w:left w:type="dxa" w:w="100"/>
              <w:bottom w:type="dxa" w:w="80"/>
              <w:right w:type="dxa" w:w="100"/>
            </w:tcMar>
          </w:tcPr>
          <w:p>
            <w:r>
              <w:rPr>
                <w:b w:val="false"/>
                <w:bCs w:val="false"/>
                <w:color w:val="000000"/>
                <w:sz w:val="20"/>
                <w:szCs w:val="20"/>
              </w:rPr>
              <w:t xml:space="preserve">Jetzt (KW34)</w:t>
            </w:r>
          </w:p>
        </w:tc>
        <w:tc>
          <w:tcPr>
            <w:tcW w:type="dxa" w:w="5150"/>
            <w:tcMar>
              <w:top w:type="dxa" w:w="80"/>
              <w:left w:type="dxa" w:w="100"/>
              <w:bottom w:type="dxa" w:w="80"/>
              <w:right w:type="dxa" w:w="100"/>
            </w:tcMar>
          </w:tcPr>
          <w:p>
            <w:r>
              <w:rPr>
                <w:b w:val="false"/>
                <w:bCs w:val="false"/>
                <w:color w:val="000000"/>
                <w:sz w:val="20"/>
                <w:szCs w:val="20"/>
              </w:rPr>
              <w:t xml:space="preserve">Handle-Verfügbarkeit "finanz.ritual" / "finanzritual" auf TikTok, Instagram, YouTube, LinkedIn prüfen (siehe Anleitung Kapitel 15).</w:t>
            </w:r>
          </w:p>
        </w:tc>
        <w:tc>
          <w:tcPr>
            <w:tcW w:type="dxa" w:w="2300"/>
            <w:tcMar>
              <w:top w:type="dxa" w:w="80"/>
              <w:left w:type="dxa" w:w="100"/>
              <w:bottom w:type="dxa" w:w="80"/>
              <w:right w:type="dxa" w:w="100"/>
            </w:tcMar>
          </w:tcPr>
          <w:p>
            <w:r>
              <w:rPr>
                <w:b w:val="false"/>
                <w:bCs w:val="false"/>
                <w:color w:val="000000"/>
                <w:sz w:val="20"/>
                <w:szCs w:val="20"/>
              </w:rPr>
              <w:t xml:space="preserve">Bevor irgendwo ein Konto angelegt wird.</w:t>
            </w:r>
          </w:p>
        </w:tc>
      </w:tr>
      <w:tr>
        <w:tc>
          <w:tcPr>
            <w:tcW w:type="dxa" w:w="1900"/>
            <w:shd w:fill="EAF1F3" w:val="clear"/>
            <w:tcMar>
              <w:top w:type="dxa" w:w="80"/>
              <w:left w:type="dxa" w:w="100"/>
              <w:bottom w:type="dxa" w:w="80"/>
              <w:right w:type="dxa" w:w="100"/>
            </w:tcMar>
          </w:tcPr>
          <w:p>
            <w:r>
              <w:rPr>
                <w:b w:val="false"/>
                <w:bCs w:val="false"/>
                <w:color w:val="000000"/>
                <w:sz w:val="20"/>
                <w:szCs w:val="20"/>
              </w:rPr>
              <w:t xml:space="preserve">Jetzt (KW34)</w:t>
            </w:r>
          </w:p>
        </w:tc>
        <w:tc>
          <w:tcPr>
            <w:tcW w:type="dxa" w:w="5150"/>
            <w:tcMar>
              <w:top w:type="dxa" w:w="80"/>
              <w:left w:type="dxa" w:w="100"/>
              <w:bottom w:type="dxa" w:w="80"/>
              <w:right w:type="dxa" w:w="100"/>
            </w:tcMar>
          </w:tcPr>
          <w:p>
            <w:r>
              <w:rPr>
                <w:b w:val="false"/>
                <w:bCs w:val="false"/>
                <w:color w:val="000000"/>
                <w:sz w:val="20"/>
                <w:szCs w:val="20"/>
              </w:rPr>
              <w:t xml:space="preserve">Accounts auf allen vier Plattformen anlegen, Profilbild + Bio + Link-Platzhalter einheitlich einrichten.</w:t>
            </w:r>
          </w:p>
        </w:tc>
        <w:tc>
          <w:tcPr>
            <w:tcW w:type="dxa" w:w="2300"/>
            <w:tcMar>
              <w:top w:type="dxa" w:w="80"/>
              <w:left w:type="dxa" w:w="100"/>
              <w:bottom w:type="dxa" w:w="80"/>
              <w:right w:type="dxa" w:w="100"/>
            </w:tcMar>
          </w:tcPr>
          <w:p>
            <w:r>
              <w:rPr>
                <w:b w:val="false"/>
                <w:bCs w:val="false"/>
                <w:color w:val="000000"/>
                <w:sz w:val="20"/>
                <w:szCs w:val="20"/>
              </w:rPr>
              <w:t xml:space="preserve">Schritt-für-Schritt-Anleitung siehe Kapitel 15.</w:t>
            </w:r>
          </w:p>
        </w:tc>
      </w:tr>
      <w:tr>
        <w:tc>
          <w:tcPr>
            <w:tcW w:type="dxa" w:w="1900"/>
            <w:shd w:fill="EAF1F3" w:val="clear"/>
            <w:tcMar>
              <w:top w:type="dxa" w:w="80"/>
              <w:left w:type="dxa" w:w="100"/>
              <w:bottom w:type="dxa" w:w="80"/>
              <w:right w:type="dxa" w:w="100"/>
            </w:tcMar>
          </w:tcPr>
          <w:p>
            <w:r>
              <w:rPr>
                <w:b w:val="false"/>
                <w:bCs w:val="false"/>
                <w:color w:val="000000"/>
                <w:sz w:val="20"/>
                <w:szCs w:val="20"/>
              </w:rPr>
              <w:t xml:space="preserve">KW34–36</w:t>
            </w:r>
          </w:p>
        </w:tc>
        <w:tc>
          <w:tcPr>
            <w:tcW w:type="dxa" w:w="5150"/>
            <w:tcMar>
              <w:top w:type="dxa" w:w="80"/>
              <w:left w:type="dxa" w:w="100"/>
              <w:bottom w:type="dxa" w:w="80"/>
              <w:right w:type="dxa" w:w="100"/>
            </w:tcMar>
          </w:tcPr>
          <w:p>
            <w:r>
              <w:rPr>
                <w:b w:val="false"/>
                <w:bCs w:val="false"/>
                <w:color w:val="000000"/>
                <w:sz w:val="20"/>
                <w:szCs w:val="20"/>
              </w:rPr>
              <w:t xml:space="preserve">Teil 1 und Teil 2 der Video-Serie produzieren und veröffentlichen – noch ohne Landingpage-Link, nur Wiedererkennungswert und Reichweite aufbauen.</w:t>
            </w:r>
          </w:p>
        </w:tc>
        <w:tc>
          <w:tcPr>
            <w:tcW w:type="dxa" w:w="2300"/>
            <w:tcMar>
              <w:top w:type="dxa" w:w="80"/>
              <w:left w:type="dxa" w:w="100"/>
              <w:bottom w:type="dxa" w:w="80"/>
              <w:right w:type="dxa" w:w="100"/>
            </w:tcMar>
          </w:tcPr>
          <w:p>
            <w:r>
              <w:rPr>
                <w:b w:val="false"/>
                <w:bCs w:val="false"/>
                <w:color w:val="000000"/>
                <w:sz w:val="20"/>
                <w:szCs w:val="20"/>
              </w:rPr>
              <w:t xml:space="preserve">Marke ist im Profilnamen sichtbar, aber kein CTA aktiv.</w:t>
            </w:r>
          </w:p>
        </w:tc>
      </w:tr>
      <w:tr>
        <w:tc>
          <w:tcPr>
            <w:tcW w:type="dxa" w:w="1900"/>
            <w:shd w:fill="EAF1F3" w:val="clear"/>
            <w:tcMar>
              <w:top w:type="dxa" w:w="80"/>
              <w:left w:type="dxa" w:w="100"/>
              <w:bottom w:type="dxa" w:w="80"/>
              <w:right w:type="dxa" w:w="100"/>
            </w:tcMar>
          </w:tcPr>
          <w:p>
            <w:r>
              <w:rPr>
                <w:b w:val="false"/>
                <w:bCs w:val="false"/>
                <w:color w:val="000000"/>
                <w:sz w:val="20"/>
                <w:szCs w:val="20"/>
              </w:rPr>
              <w:t xml:space="preserve">KW34–38 (parallel)</w:t>
            </w:r>
          </w:p>
        </w:tc>
        <w:tc>
          <w:tcPr>
            <w:tcW w:type="dxa" w:w="5150"/>
            <w:tcMar>
              <w:top w:type="dxa" w:w="80"/>
              <w:left w:type="dxa" w:w="100"/>
              <w:bottom w:type="dxa" w:w="80"/>
              <w:right w:type="dxa" w:w="100"/>
            </w:tcMar>
          </w:tcPr>
          <w:p>
            <w:r>
              <w:rPr>
                <w:b w:val="false"/>
                <w:bCs w:val="false"/>
                <w:color w:val="000000"/>
                <w:sz w:val="20"/>
                <w:szCs w:val="20"/>
              </w:rPr>
              <w:t xml:space="preserve">Steuerberater-Rückmeldung einholen: Trennt sich "Impressum führen" von "Gewerbe anmelden"?</w:t>
            </w:r>
          </w:p>
        </w:tc>
        <w:tc>
          <w:tcPr>
            <w:tcW w:type="dxa" w:w="2300"/>
            <w:tcMar>
              <w:top w:type="dxa" w:w="80"/>
              <w:left w:type="dxa" w:w="100"/>
              <w:bottom w:type="dxa" w:w="80"/>
              <w:right w:type="dxa" w:w="100"/>
            </w:tcMar>
          </w:tcPr>
          <w:p>
            <w:r>
              <w:rPr>
                <w:b w:val="false"/>
                <w:bCs w:val="false"/>
                <w:color w:val="000000"/>
                <w:sz w:val="20"/>
                <w:szCs w:val="20"/>
              </w:rPr>
              <w:t xml:space="preserve">Blockiert Phase 2, nicht Phase 1.</w:t>
            </w:r>
          </w:p>
        </w:tc>
      </w:tr>
      <w:tr>
        <w:tc>
          <w:tcPr>
            <w:tcW w:type="dxa" w:w="1900"/>
            <w:shd w:fill="EAF1F3" w:val="clear"/>
            <w:tcMar>
              <w:top w:type="dxa" w:w="80"/>
              <w:left w:type="dxa" w:w="100"/>
              <w:bottom w:type="dxa" w:w="80"/>
              <w:right w:type="dxa" w:w="100"/>
            </w:tcMar>
          </w:tcPr>
          <w:p>
            <w:r>
              <w:rPr>
                <w:b w:val="false"/>
                <w:bCs w:val="false"/>
                <w:color w:val="000000"/>
                <w:sz w:val="20"/>
                <w:szCs w:val="20"/>
              </w:rPr>
              <w:t xml:space="preserve">KW36–37</w:t>
            </w:r>
          </w:p>
        </w:tc>
        <w:tc>
          <w:tcPr>
            <w:tcW w:type="dxa" w:w="5150"/>
            <w:tcMar>
              <w:top w:type="dxa" w:w="80"/>
              <w:left w:type="dxa" w:w="100"/>
              <w:bottom w:type="dxa" w:w="80"/>
              <w:right w:type="dxa" w:w="100"/>
            </w:tcMar>
          </w:tcPr>
          <w:p>
            <w:r>
              <w:rPr>
                <w:b w:val="false"/>
                <w:bCs w:val="false"/>
                <w:color w:val="000000"/>
                <w:sz w:val="20"/>
                <w:szCs w:val="20"/>
              </w:rPr>
              <w:t xml:space="preserve">Landingpage (Warteliste) technisch aufsetzen: Impressum, Datenschutzerklärung, Double-Opt-in-Formular.</w:t>
            </w:r>
          </w:p>
        </w:tc>
        <w:tc>
          <w:tcPr>
            <w:tcW w:type="dxa" w:w="2300"/>
            <w:tcMar>
              <w:top w:type="dxa" w:w="80"/>
              <w:left w:type="dxa" w:w="100"/>
              <w:bottom w:type="dxa" w:w="80"/>
              <w:right w:type="dxa" w:w="100"/>
            </w:tcMar>
          </w:tcPr>
          <w:p>
            <w:r>
              <w:rPr>
                <w:b w:val="false"/>
                <w:bCs w:val="false"/>
                <w:color w:val="000000"/>
                <w:sz w:val="20"/>
                <w:szCs w:val="20"/>
              </w:rPr>
              <w:t xml:space="preserve">Muss stehen, bevor Teil 3 mit CTA veröffentlicht wird.</w:t>
            </w:r>
          </w:p>
        </w:tc>
      </w:tr>
      <w:tr>
        <w:tc>
          <w:tcPr>
            <w:tcW w:type="dxa" w:w="1900"/>
            <w:shd w:fill="EAF1F3" w:val="clear"/>
            <w:tcMar>
              <w:top w:type="dxa" w:w="80"/>
              <w:left w:type="dxa" w:w="100"/>
              <w:bottom w:type="dxa" w:w="80"/>
              <w:right w:type="dxa" w:w="100"/>
            </w:tcMar>
          </w:tcPr>
          <w:p>
            <w:r>
              <w:rPr>
                <w:b w:val="false"/>
                <w:bCs w:val="false"/>
                <w:color w:val="000000"/>
                <w:sz w:val="20"/>
                <w:szCs w:val="20"/>
              </w:rPr>
              <w:t xml:space="preserve">KW38</w:t>
            </w:r>
          </w:p>
        </w:tc>
        <w:tc>
          <w:tcPr>
            <w:tcW w:type="dxa" w:w="5150"/>
            <w:tcMar>
              <w:top w:type="dxa" w:w="80"/>
              <w:left w:type="dxa" w:w="100"/>
              <w:bottom w:type="dxa" w:w="80"/>
              <w:right w:type="dxa" w:w="100"/>
            </w:tcMar>
          </w:tcPr>
          <w:p>
            <w:r>
              <w:rPr>
                <w:b w:val="false"/>
                <w:bCs w:val="false"/>
                <w:color w:val="000000"/>
                <w:sz w:val="20"/>
                <w:szCs w:val="20"/>
              </w:rPr>
              <w:t xml:space="preserve">Domain-E-Mail unter finanz-ritual.de einrichten, Umstieg von der gmx.de-Adresse.</w:t>
            </w:r>
          </w:p>
        </w:tc>
        <w:tc>
          <w:tcPr>
            <w:tcW w:type="dxa" w:w="2300"/>
            <w:tcMar>
              <w:top w:type="dxa" w:w="80"/>
              <w:left w:type="dxa" w:w="100"/>
              <w:bottom w:type="dxa" w:w="80"/>
              <w:right w:type="dxa" w:w="100"/>
            </w:tcMar>
          </w:tcPr>
          <w:p>
            <w:r>
              <w:rPr>
                <w:b w:val="false"/>
                <w:bCs w:val="false"/>
                <w:color w:val="000000"/>
                <w:sz w:val="20"/>
                <w:szCs w:val="20"/>
              </w:rPr>
              <w:t xml:space="preserve">Unabhängig vom Website-Launch möglich.</w:t>
            </w:r>
          </w:p>
        </w:tc>
      </w:tr>
      <w:tr>
        <w:tc>
          <w:tcPr>
            <w:tcW w:type="dxa" w:w="1900"/>
            <w:shd w:fill="EAF1F3" w:val="clear"/>
            <w:tcMar>
              <w:top w:type="dxa" w:w="80"/>
              <w:left w:type="dxa" w:w="100"/>
              <w:bottom w:type="dxa" w:w="80"/>
              <w:right w:type="dxa" w:w="100"/>
            </w:tcMar>
          </w:tcPr>
          <w:p>
            <w:r>
              <w:rPr>
                <w:b w:val="false"/>
                <w:bCs w:val="false"/>
                <w:color w:val="000000"/>
                <w:sz w:val="20"/>
                <w:szCs w:val="20"/>
              </w:rPr>
              <w:t xml:space="preserve">KW38–40</w:t>
            </w:r>
          </w:p>
        </w:tc>
        <w:tc>
          <w:tcPr>
            <w:tcW w:type="dxa" w:w="5150"/>
            <w:tcMar>
              <w:top w:type="dxa" w:w="80"/>
              <w:left w:type="dxa" w:w="100"/>
              <w:bottom w:type="dxa" w:w="80"/>
              <w:right w:type="dxa" w:w="100"/>
            </w:tcMar>
          </w:tcPr>
          <w:p>
            <w:r>
              <w:rPr>
                <w:b w:val="false"/>
                <w:bCs w:val="false"/>
                <w:color w:val="000000"/>
                <w:sz w:val="20"/>
                <w:szCs w:val="20"/>
              </w:rPr>
              <w:t xml:space="preserve">Teil 3 veröffentlichen, CTA zur Warteliste erstmals aktiv.</w:t>
            </w:r>
          </w:p>
        </w:tc>
        <w:tc>
          <w:tcPr>
            <w:tcW w:type="dxa" w:w="2300"/>
            <w:tcMar>
              <w:top w:type="dxa" w:w="80"/>
              <w:left w:type="dxa" w:w="100"/>
              <w:bottom w:type="dxa" w:w="80"/>
              <w:right w:type="dxa" w:w="100"/>
            </w:tcMar>
          </w:tcPr>
          <w:p>
            <w:r>
              <w:rPr>
                <w:b w:val="false"/>
                <w:bCs w:val="false"/>
                <w:color w:val="000000"/>
                <w:sz w:val="20"/>
                <w:szCs w:val="20"/>
              </w:rPr>
              <w:t xml:space="preserve">Ab hier zählt jede Interaktion Richtung Liste.</w:t>
            </w:r>
          </w:p>
        </w:tc>
      </w:tr>
      <w:tr>
        <w:tc>
          <w:tcPr>
            <w:tcW w:type="dxa" w:w="1900"/>
            <w:shd w:fill="EAF1F3" w:val="clear"/>
            <w:tcMar>
              <w:top w:type="dxa" w:w="80"/>
              <w:left w:type="dxa" w:w="100"/>
              <w:bottom w:type="dxa" w:w="80"/>
              <w:right w:type="dxa" w:w="100"/>
            </w:tcMar>
          </w:tcPr>
          <w:p>
            <w:r>
              <w:rPr>
                <w:b w:val="false"/>
                <w:bCs w:val="false"/>
                <w:color w:val="000000"/>
                <w:sz w:val="20"/>
                <w:szCs w:val="20"/>
              </w:rPr>
              <w:t xml:space="preserve">KW40–42</w:t>
            </w:r>
          </w:p>
        </w:tc>
        <w:tc>
          <w:tcPr>
            <w:tcW w:type="dxa" w:w="5150"/>
            <w:tcMar>
              <w:top w:type="dxa" w:w="80"/>
              <w:left w:type="dxa" w:w="100"/>
              <w:bottom w:type="dxa" w:w="80"/>
              <w:right w:type="dxa" w:w="100"/>
            </w:tcMar>
          </w:tcPr>
          <w:p>
            <w:r>
              <w:rPr>
                <w:b w:val="false"/>
                <w:bCs w:val="false"/>
                <w:color w:val="000000"/>
                <w:sz w:val="20"/>
                <w:szCs w:val="20"/>
              </w:rPr>
              <w:t xml:space="preserve">Teil 4 veröffentlichen, Behind-the-Scenes-Content, Community-Fragen sammeln.</w:t>
            </w:r>
          </w:p>
        </w:tc>
        <w:tc>
          <w:tcPr>
            <w:tcW w:type="dxa" w:w="2300"/>
            <w:tcMar>
              <w:top w:type="dxa" w:w="80"/>
              <w:left w:type="dxa" w:w="100"/>
              <w:bottom w:type="dxa" w:w="80"/>
              <w:right w:type="dxa" w:w="100"/>
            </w:tcMar>
          </w:tcPr>
          <w:p>
            <w:r>
              <w:rPr>
                <w:b w:val="false"/>
                <w:bCs w:val="false"/>
                <w:color w:val="000000"/>
                <w:sz w:val="20"/>
                <w:szCs w:val="20"/>
              </w:rPr>
              <w:t xml:space="preserve">Vorfreude-Phase.</w:t>
            </w:r>
          </w:p>
        </w:tc>
      </w:tr>
      <w:tr>
        <w:tc>
          <w:tcPr>
            <w:tcW w:type="dxa" w:w="1900"/>
            <w:shd w:fill="EAF1F3" w:val="clear"/>
            <w:tcMar>
              <w:top w:type="dxa" w:w="80"/>
              <w:left w:type="dxa" w:w="100"/>
              <w:bottom w:type="dxa" w:w="80"/>
              <w:right w:type="dxa" w:w="100"/>
            </w:tcMar>
          </w:tcPr>
          <w:p>
            <w:r>
              <w:rPr>
                <w:b w:val="false"/>
                <w:bCs w:val="false"/>
                <w:color w:val="000000"/>
                <w:sz w:val="20"/>
                <w:szCs w:val="20"/>
              </w:rPr>
              <w:t xml:space="preserve">Letzte Woche vor 1.1.</w:t>
            </w:r>
          </w:p>
        </w:tc>
        <w:tc>
          <w:tcPr>
            <w:tcW w:type="dxa" w:w="5150"/>
            <w:tcMar>
              <w:top w:type="dxa" w:w="80"/>
              <w:left w:type="dxa" w:w="100"/>
              <w:bottom w:type="dxa" w:w="80"/>
              <w:right w:type="dxa" w:w="100"/>
            </w:tcMar>
          </w:tcPr>
          <w:p>
            <w:r>
              <w:rPr>
                <w:b w:val="false"/>
                <w:bCs w:val="false"/>
                <w:color w:val="000000"/>
                <w:sz w:val="20"/>
                <w:szCs w:val="20"/>
              </w:rPr>
              <w:t xml:space="preserve">Teil 5 veröffentlichen, täglicher Countdown-Content, exklusiver Listen-Bonus ankündigen.</w:t>
            </w:r>
          </w:p>
        </w:tc>
        <w:tc>
          <w:tcPr>
            <w:tcW w:type="dxa" w:w="2300"/>
            <w:tcMar>
              <w:top w:type="dxa" w:w="80"/>
              <w:left w:type="dxa" w:w="100"/>
              <w:bottom w:type="dxa" w:w="80"/>
              <w:right w:type="dxa" w:w="100"/>
            </w:tcMar>
          </w:tcPr>
          <w:p>
            <w:r>
              <w:rPr>
                <w:b w:val="false"/>
                <w:bCs w:val="false"/>
                <w:color w:val="000000"/>
                <w:sz w:val="20"/>
                <w:szCs w:val="20"/>
              </w:rPr>
              <w:t xml:space="preserve">Last-Call-Phase.</w:t>
            </w:r>
          </w:p>
        </w:tc>
      </w:tr>
      <w:tr>
        <w:tc>
          <w:tcPr>
            <w:tcW w:type="dxa" w:w="1900"/>
            <w:shd w:fill="EAF1F3" w:val="clear"/>
            <w:tcMar>
              <w:top w:type="dxa" w:w="80"/>
              <w:left w:type="dxa" w:w="100"/>
              <w:bottom w:type="dxa" w:w="80"/>
              <w:right w:type="dxa" w:w="100"/>
            </w:tcMar>
          </w:tcPr>
          <w:p>
            <w:r>
              <w:rPr>
                <w:b w:val="false"/>
                <w:bCs w:val="false"/>
                <w:color w:val="000000"/>
                <w:sz w:val="20"/>
                <w:szCs w:val="20"/>
              </w:rPr>
              <w:t xml:space="preserve">Nacht zum 1.1.2027</w:t>
            </w:r>
          </w:p>
        </w:tc>
        <w:tc>
          <w:tcPr>
            <w:tcW w:type="dxa" w:w="5150"/>
            <w:tcMar>
              <w:top w:type="dxa" w:w="80"/>
              <w:left w:type="dxa" w:w="100"/>
              <w:bottom w:type="dxa" w:w="80"/>
              <w:right w:type="dxa" w:w="100"/>
            </w:tcMar>
          </w:tcPr>
          <w:p>
            <w:r>
              <w:rPr>
                <w:b w:val="false"/>
                <w:bCs w:val="false"/>
                <w:color w:val="000000"/>
                <w:sz w:val="20"/>
                <w:szCs w:val="20"/>
              </w:rPr>
              <w:t xml:space="preserve">Blog-Domain live schalten, finale Reveal-Videos/Posts veröffentlichen, alle Profil-Links von Warteliste auf den echten Blog umstellen.</w:t>
            </w:r>
          </w:p>
        </w:tc>
        <w:tc>
          <w:tcPr>
            <w:tcW w:type="dxa" w:w="2300"/>
            <w:tcMar>
              <w:top w:type="dxa" w:w="80"/>
              <w:left w:type="dxa" w:w="100"/>
              <w:bottom w:type="dxa" w:w="80"/>
              <w:right w:type="dxa" w:w="100"/>
            </w:tcMar>
          </w:tcPr>
          <w:p>
            <w:r>
              <w:rPr>
                <w:b w:val="false"/>
                <w:bCs w:val="false"/>
                <w:color w:val="000000"/>
                <w:sz w:val="20"/>
                <w:szCs w:val="20"/>
              </w:rPr>
              <w:t xml:space="preserve">Der eigentliche "Vorhang lüften"-Moment.</w:t>
            </w:r>
          </w:p>
        </w:tc>
      </w:tr>
    </w:tbl>
    <w:p>
      <w:pPr>
        <w:pStyle w:val="Heading1"/>
        <w:spacing w:after="150" w:before="300"/>
      </w:pPr>
      <w:r>
        <w:t xml:space="preserve">15. Social-Media-Konten anlegen – Schritt-für-Schritt</w:t>
      </w:r>
    </w:p>
    <w:p>
      <w:pPr>
        <w:spacing w:after="120"/>
      </w:pPr>
      <w:r>
        <w:t xml:space="preserve">Da noch kein Profil existiert, hier die Grundlagen für alle vier Plattformen. Reihenfolge: erst Handle-Check, dann Accounts in derselben Sitzung anlegen, damit der Name überall gesichert ist.</w:t>
      </w:r>
    </w:p>
    <w:p>
      <w:pPr>
        <w:pStyle w:val="Heading2"/>
        <w:spacing w:after="120" w:before="240"/>
      </w:pPr>
      <w:r>
        <w:t xml:space="preserve">15.1 Vorbereitung (einmalig, für alle Plattformen)</w:t>
      </w:r>
    </w:p>
    <w:p>
      <w:pPr>
        <w:pStyle w:val="ListParagraph"/>
        <w:numPr>
          <w:ilvl w:val="0"/>
          <w:numId w:val="1"/>
        </w:numPr>
        <w:spacing w:after="80"/>
      </w:pPr>
      <w:r>
        <w:rPr>
          <w:b w:val="false"/>
          <w:bCs w:val="false"/>
        </w:rPr>
        <w:t xml:space="preserve">Ein Profilfoto/Logo in quadratischem Format bereitlegen (mind. 500×500 px) – auf allen Kanälen identisch verwenden.</w:t>
      </w:r>
    </w:p>
    <w:p>
      <w:pPr>
        <w:pStyle w:val="ListParagraph"/>
        <w:numPr>
          <w:ilvl w:val="0"/>
          <w:numId w:val="1"/>
        </w:numPr>
        <w:spacing w:after="80"/>
      </w:pPr>
      <w:r>
        <w:rPr>
          <w:b w:val="false"/>
          <w:bCs w:val="false"/>
        </w:rPr>
        <w:t xml:space="preserve">Kurzer Bio-Satz (max. ca. 150 Zeichen), plattformübergreifend gleich, z. B.: "Finanzpsychologie &amp; Marktanalysen – ab 01.01. auf finanz-ritual.de".</w:t>
      </w:r>
    </w:p>
    <w:p>
      <w:pPr>
        <w:pStyle w:val="ListParagraph"/>
        <w:numPr>
          <w:ilvl w:val="0"/>
          <w:numId w:val="1"/>
        </w:numPr>
        <w:spacing w:after="80"/>
      </w:pPr>
      <w:r>
        <w:rPr>
          <w:b w:val="false"/>
          <w:bCs w:val="false"/>
        </w:rPr>
        <w:t xml:space="preserve">Die Domain-E-Mail-Adresse für die Registrierung nutzen, sobald sie eingerichtet ist – bis dahin die vorhandene Adresse verwenden.</w:t>
      </w:r>
    </w:p>
    <w:p>
      <w:pPr>
        <w:pStyle w:val="ListParagraph"/>
        <w:numPr>
          <w:ilvl w:val="0"/>
          <w:numId w:val="1"/>
        </w:numPr>
        <w:spacing w:after="80"/>
      </w:pPr>
      <w:r>
        <w:rPr>
          <w:b w:val="false"/>
          <w:bCs w:val="false"/>
        </w:rPr>
        <w:t xml:space="preserve">Ein separates, starkes Passwort pro Plattform, am besten in einem Passwort-Manager abgelegt.</w:t>
      </w:r>
    </w:p>
    <w:p>
      <w:pPr>
        <w:pStyle w:val="Heading2"/>
        <w:spacing w:after="120" w:before="240"/>
      </w:pPr>
      <w:r>
        <w:t xml:space="preserve">15.2 TikTok</w:t>
      </w:r>
    </w:p>
    <w:p>
      <w:pPr>
        <w:pStyle w:val="ListParagraph"/>
        <w:numPr>
          <w:ilvl w:val="0"/>
          <w:numId w:val="1"/>
        </w:numPr>
        <w:spacing w:after="80"/>
      </w:pPr>
      <w:r>
        <w:rPr>
          <w:b w:val="false"/>
          <w:bCs w:val="false"/>
        </w:rPr>
        <w:t xml:space="preserve">tiktok.com öffnen → "Registrieren" → mit E-Mail-Adresse anmelden (kein bestehendes Konto einer anderen Plattform verknüpfen, um die Marke sauber zu trennen).</w:t>
      </w:r>
    </w:p>
    <w:p>
      <w:pPr>
        <w:pStyle w:val="ListParagraph"/>
        <w:numPr>
          <w:ilvl w:val="0"/>
          <w:numId w:val="1"/>
        </w:numPr>
        <w:spacing w:after="80"/>
      </w:pPr>
      <w:r>
        <w:rPr>
          <w:b w:val="false"/>
          <w:bCs w:val="false"/>
        </w:rPr>
        <w:t xml:space="preserve">Nach Bestätigung der E-Mail: Profil → "Profil bearbeiten" → Benutzername auf den geprüften Handle setzen, Anzeigename "Finanz-Ritual", Bio einfügen, Profilbild hochladen.</w:t>
      </w:r>
    </w:p>
    <w:p>
      <w:pPr>
        <w:pStyle w:val="ListParagraph"/>
        <w:numPr>
          <w:ilvl w:val="0"/>
          <w:numId w:val="1"/>
        </w:numPr>
        <w:spacing w:after="80"/>
      </w:pPr>
      <w:r>
        <w:rPr>
          <w:b w:val="false"/>
          <w:bCs w:val="false"/>
        </w:rPr>
        <w:t xml:space="preserve">Unter "Einstellungen und Datenschutz" → "Konto" auf "Unternehmenskonto" (Business-Konto) umstellen – gibt Zugriff auf Statistiken und ist Voraussetzung für spätere Link-in-Bio-Funktion.</w:t>
      </w:r>
    </w:p>
    <w:p>
      <w:pPr>
        <w:pStyle w:val="ListParagraph"/>
        <w:numPr>
          <w:ilvl w:val="0"/>
          <w:numId w:val="1"/>
        </w:numPr>
        <w:spacing w:after="80"/>
      </w:pPr>
      <w:r>
        <w:rPr>
          <w:b w:val="false"/>
          <w:bCs w:val="false"/>
        </w:rPr>
        <w:t xml:space="preserve">Kategorie "Finanzen" auswählen, sobald danach gefragt wird.</w:t>
      </w:r>
    </w:p>
    <w:p>
      <w:pPr>
        <w:pStyle w:val="Heading2"/>
        <w:spacing w:after="120" w:before="240"/>
      </w:pPr>
      <w:r>
        <w:t xml:space="preserve">15.3 Instagram</w:t>
      </w:r>
    </w:p>
    <w:p>
      <w:pPr>
        <w:pStyle w:val="ListParagraph"/>
        <w:numPr>
          <w:ilvl w:val="0"/>
          <w:numId w:val="1"/>
        </w:numPr>
        <w:spacing w:after="80"/>
      </w:pPr>
      <w:r>
        <w:rPr>
          <w:b w:val="false"/>
          <w:bCs w:val="false"/>
        </w:rPr>
        <w:t xml:space="preserve">App oder instagram.com → "Registrieren" → E-Mail-Adresse, Benutzername auf den Handle setzen.</w:t>
      </w:r>
    </w:p>
    <w:p>
      <w:pPr>
        <w:pStyle w:val="ListParagraph"/>
        <w:numPr>
          <w:ilvl w:val="0"/>
          <w:numId w:val="1"/>
        </w:numPr>
        <w:spacing w:after="80"/>
      </w:pPr>
      <w:r>
        <w:rPr>
          <w:b w:val="false"/>
          <w:bCs w:val="false"/>
        </w:rPr>
        <w:t xml:space="preserve">Profil → "Zum professionellen Konto wechseln" → Kategorie "Finanzberatung" oder "Content-Ersteller" auswählen → gibt Zugriff auf Insights/Statistiken und Link-Sticker in Stories.</w:t>
      </w:r>
    </w:p>
    <w:p>
      <w:pPr>
        <w:pStyle w:val="ListParagraph"/>
        <w:numPr>
          <w:ilvl w:val="0"/>
          <w:numId w:val="1"/>
        </w:numPr>
        <w:spacing w:after="80"/>
      </w:pPr>
      <w:r>
        <w:rPr>
          <w:b w:val="false"/>
          <w:bCs w:val="false"/>
        </w:rPr>
        <w:t xml:space="preserve">Bio, Profilbild und (sobald verfügbar) Website-Link im Profil hinterlegen.</w:t>
      </w:r>
    </w:p>
    <w:p>
      <w:pPr>
        <w:pStyle w:val="Heading2"/>
        <w:spacing w:after="120" w:before="240"/>
      </w:pPr>
      <w:r>
        <w:t xml:space="preserve">15.4 YouTube</w:t>
      </w:r>
    </w:p>
    <w:p>
      <w:pPr>
        <w:pStyle w:val="ListParagraph"/>
        <w:numPr>
          <w:ilvl w:val="0"/>
          <w:numId w:val="1"/>
        </w:numPr>
        <w:spacing w:after="80"/>
      </w:pPr>
      <w:r>
        <w:rPr>
          <w:b w:val="false"/>
          <w:bCs w:val="false"/>
        </w:rPr>
        <w:t xml:space="preserve">Mit einem Google-Konto anmelden (neues Konto anlegen, falls noch keins mit dem gewünschten Namen existiert) → youtube.com → Profilbild oben rechts → "Kanal erstellen".</w:t>
      </w:r>
    </w:p>
    <w:p>
      <w:pPr>
        <w:pStyle w:val="ListParagraph"/>
        <w:numPr>
          <w:ilvl w:val="0"/>
          <w:numId w:val="1"/>
        </w:numPr>
        <w:spacing w:after="80"/>
      </w:pPr>
      <w:r>
        <w:rPr>
          <w:b w:val="false"/>
          <w:bCs w:val="false"/>
        </w:rPr>
        <w:t xml:space="preserve">Kanalname auf "Finanz-Ritual" setzen, Handle (@finanz.ritual o. ä.) parallel zum TikTok/Insta-Namen wählen.</w:t>
      </w:r>
    </w:p>
    <w:p>
      <w:pPr>
        <w:pStyle w:val="ListParagraph"/>
        <w:numPr>
          <w:ilvl w:val="0"/>
          <w:numId w:val="1"/>
        </w:numPr>
        <w:spacing w:after="80"/>
      </w:pPr>
      <w:r>
        <w:rPr>
          <w:b w:val="false"/>
          <w:bCs w:val="false"/>
        </w:rPr>
        <w:t xml:space="preserve">Unter "YouTube Studio" → "Anpassung" → Kanalbeschreibung, Profilbild, Bannerbild und Links hinterlegen.</w:t>
      </w:r>
    </w:p>
    <w:p>
      <w:pPr>
        <w:pStyle w:val="ListParagraph"/>
        <w:numPr>
          <w:ilvl w:val="0"/>
          <w:numId w:val="1"/>
        </w:numPr>
        <w:spacing w:after="80"/>
      </w:pPr>
      <w:r>
        <w:rPr>
          <w:b w:val="false"/>
          <w:bCs w:val="false"/>
        </w:rPr>
        <w:t xml:space="preserve">Shorts können direkt über "Erstellen" → "Short hochladen" veröffentlicht werden – gleiches Videomaterial wie TikTok/Reels ist wiederverwendbar.</w:t>
      </w:r>
    </w:p>
    <w:p>
      <w:pPr>
        <w:pStyle w:val="Heading2"/>
        <w:spacing w:after="120" w:before="240"/>
      </w:pPr>
      <w:r>
        <w:t xml:space="preserve">15.5 LinkedIn</w:t>
      </w:r>
    </w:p>
    <w:p>
      <w:pPr>
        <w:pStyle w:val="ListParagraph"/>
        <w:numPr>
          <w:ilvl w:val="0"/>
          <w:numId w:val="1"/>
        </w:numPr>
        <w:spacing w:after="80"/>
      </w:pPr>
      <w:r>
        <w:rPr>
          <w:b w:val="false"/>
          <w:bCs w:val="false"/>
        </w:rPr>
        <w:t xml:space="preserve">linkedin.com → "Beitreten" → mit E-Mail registrieren, persönliches Profil anlegen (Vor-/Nachname erforderlich, kein reiner Markenname möglich für das Hauptprofil).</w:t>
      </w:r>
    </w:p>
    <w:p>
      <w:pPr>
        <w:pStyle w:val="ListParagraph"/>
        <w:numPr>
          <w:ilvl w:val="0"/>
          <w:numId w:val="1"/>
        </w:numPr>
        <w:spacing w:after="80"/>
      </w:pPr>
      <w:r>
        <w:rPr>
          <w:b w:val="false"/>
          <w:bCs w:val="false"/>
        </w:rPr>
        <w:t xml:space="preserve">Zusätzlich eine "Unternehmensseite" erstellen: Menü → "Erstellen" → "Unternehmensseite" → Seitenname "Finanz-Ritual", Branche "Finanzdienstleistungen", Logo und Beschreibung hinterlegen.</w:t>
      </w:r>
    </w:p>
    <w:p>
      <w:pPr>
        <w:pStyle w:val="ListParagraph"/>
        <w:numPr>
          <w:ilvl w:val="0"/>
          <w:numId w:val="1"/>
        </w:numPr>
        <w:spacing w:after="80"/>
      </w:pPr>
      <w:r>
        <w:rPr>
          <w:b w:val="false"/>
          <w:bCs w:val="false"/>
        </w:rPr>
        <w:t xml:space="preserve">Über das persönliche Profil lässt sich später auf die Unternehmensseite verlinken – LinkedIn eignet sich gut für längere Fachbeiträge parallel zu den Kurzvideos.</w:t>
      </w:r>
    </w:p>
    <w:p>
      <w:pPr>
        <w:pStyle w:val="Heading2"/>
        <w:spacing w:after="120" w:before="240"/>
      </w:pPr>
      <w:r>
        <w:t xml:space="preserve">15.6 Nach dem Anlegen – Konsistenz-Check</w:t>
      </w:r>
    </w:p>
    <w:p>
      <w:pPr>
        <w:pStyle w:val="ListParagraph"/>
        <w:numPr>
          <w:ilvl w:val="0"/>
          <w:numId w:val="1"/>
        </w:numPr>
        <w:spacing w:after="80"/>
      </w:pPr>
      <w:r>
        <w:rPr>
          <w:b w:val="false"/>
          <w:bCs w:val="false"/>
        </w:rPr>
        <w:t xml:space="preserve">Alle vier Profile nebeneinander öffnen und Bio, Profilbild, Namen auf Einheitlichkeit prüfen.</w:t>
      </w:r>
    </w:p>
    <w:p>
      <w:pPr>
        <w:pStyle w:val="ListParagraph"/>
        <w:numPr>
          <w:ilvl w:val="0"/>
          <w:numId w:val="1"/>
        </w:numPr>
        <w:spacing w:after="80"/>
      </w:pPr>
      <w:r>
        <w:rPr>
          <w:b w:val="false"/>
          <w:bCs w:val="false"/>
        </w:rPr>
        <w:t xml:space="preserve">Noch keinen Landingpage-Link einsetzen, solange Impressum/Datenschutz nicht stehen – Link-Feld vorerst leer lassen oder "Mehr Infos folgen" schreiben.</w:t>
      </w:r>
    </w:p>
    <w:p>
      <w:pPr>
        <w:pStyle w:val="ListParagraph"/>
        <w:numPr>
          <w:ilvl w:val="0"/>
          <w:numId w:val="1"/>
        </w:numPr>
        <w:spacing w:after="80"/>
      </w:pPr>
      <w:r>
        <w:rPr>
          <w:b w:val="false"/>
          <w:bCs w:val="false"/>
        </w:rPr>
        <w:t xml:space="preserve">Business-/Profi-Konten überall aktivieren, damit von Anfang an Reichweiten- und Interaktionsdaten mitgeschrieben werden.</w:t>
      </w:r>
    </w:p>
    <w:p>
      <w:pPr>
        <w:pStyle w:val="Heading1"/>
        <w:spacing w:after="150" w:before="300"/>
      </w:pPr>
      <w:r>
        <w:t xml:space="preserve">16. Nächste offene Punkte</w:t>
      </w:r>
    </w:p>
    <w:p>
      <w:pPr>
        <w:pStyle w:val="ListParagraph"/>
        <w:numPr>
          <w:ilvl w:val="0"/>
          <w:numId w:val="1"/>
        </w:numPr>
        <w:spacing w:after="80"/>
      </w:pPr>
      <w:r>
        <w:rPr>
          <w:b w:val="false"/>
          <w:bCs w:val="false"/>
        </w:rPr>
        <w:t xml:space="preserve">Steuerberater-Rückmeldung zum Tätigkeitsbeginn und zur Trennung Impressum/Gewerbeanmeldung einholen.</w:t>
      </w:r>
    </w:p>
    <w:p>
      <w:pPr>
        <w:pStyle w:val="ListParagraph"/>
        <w:numPr>
          <w:ilvl w:val="0"/>
          <w:numId w:val="1"/>
        </w:numPr>
        <w:spacing w:after="80"/>
      </w:pPr>
      <w:r>
        <w:rPr>
          <w:b w:val="false"/>
          <w:bCs w:val="false"/>
        </w:rPr>
        <w:t xml:space="preserve">Handle-Verfügbarkeit auf allen vier Plattformen prüfen und Accounts anlegen (Kapitel 15).</w:t>
      </w:r>
    </w:p>
    <w:p>
      <w:pPr>
        <w:pStyle w:val="ListParagraph"/>
        <w:numPr>
          <w:ilvl w:val="0"/>
          <w:numId w:val="1"/>
        </w:numPr>
        <w:spacing w:after="80"/>
      </w:pPr>
      <w:r>
        <w:rPr>
          <w:b w:val="false"/>
          <w:bCs w:val="false"/>
        </w:rPr>
        <w:t xml:space="preserve">Landingpage + Double-Opt-in-Flow technisch aufsetzen, bevor Teil 3 veröffentlicht wird.</w:t>
      </w:r>
    </w:p>
    <w:p>
      <w:pPr>
        <w:pStyle w:val="ListParagraph"/>
        <w:numPr>
          <w:ilvl w:val="0"/>
          <w:numId w:val="1"/>
        </w:numPr>
        <w:spacing w:after="80"/>
      </w:pPr>
      <w:r>
        <w:rPr>
          <w:b w:val="false"/>
          <w:bCs w:val="false"/>
        </w:rPr>
        <w:t xml:space="preserve">Domain-Mailadresse unter finanz-ritual.de einrichten (Übergang von der gmx.de-Adresse).</w:t>
      </w:r>
    </w:p>
    <w:p>
      <w:pPr>
        <w:pStyle w:val="ListParagraph"/>
        <w:numPr>
          <w:ilvl w:val="0"/>
          <w:numId w:val="1"/>
        </w:numPr>
        <w:spacing w:after="80"/>
      </w:pPr>
      <w:r>
        <w:rPr>
          <w:b w:val="false"/>
          <w:bCs w:val="false"/>
        </w:rPr>
        <w:t xml:space="preserve">Erste Produktionsdurchläufe für Teil 1 und 2 starten, Feedback aus der Community einholen, Zeitplan bei Bedarf nachjustieren.</w:t>
      </w:r>
    </w:p>
    <w:p>
      <w:pPr>
        <w:pStyle w:val="Heading1"/>
        <w:spacing w:after="150" w:before="300"/>
      </w:pPr>
      <w:r>
        <w:t xml:space="preserve">17. KI-gestützte Videoproduktion &amp; Vollautomatik ab 1.1.2027</w:t>
      </w:r>
    </w:p>
    <w:p>
      <w:pPr>
        <w:spacing w:after="120"/>
      </w:pPr>
      <w:r>
        <w:t xml:space="preserve">Einschätzung zur Machbarkeit: Die fünf Skripte sind B-Roll-basiert (Flussbett, Steinzeitmensch, DAX-Chart, Dominosteine) statt Avatar-/Talking-Head-basiert. Das ist der einfachere Fall für KI-Videogeneratoren, da nur Szene, Voiceover und Text-Overlay kombiniert werden müssen – keine Lippensynchronisation nötig. Eine echte 100%-Vollautomatik ist realistisch nicht erreichbar; realistisch ist ein Automatisierungsgrad von ca. 80%, mit einer manuellen Qualitätskontrolle pro Video vor der Freigabe.</w:t>
      </w:r>
    </w:p>
    <w:p>
      <w:pPr>
        <w:pStyle w:val="Heading2"/>
        <w:spacing w:after="120" w:before="240"/>
      </w:pPr>
      <w:r>
        <w:t xml:space="preserve">17.1 Grenzen der Automatisierung</w:t>
      </w:r>
    </w:p>
    <w:p>
      <w:pPr>
        <w:pStyle w:val="ListParagraph"/>
        <w:numPr>
          <w:ilvl w:val="0"/>
          <w:numId w:val="1"/>
        </w:numPr>
        <w:spacing w:after="80"/>
      </w:pPr>
      <w:r>
        <w:rPr>
          <w:b w:val="false"/>
          <w:bCs w:val="false"/>
        </w:rPr>
        <w:t xml:space="preserve">Visuelle Konsistenz über alle 5 Teile hinweg entsteht nicht automatisch – ein Brand-Kit (Logo, Farben, Schriftart, wiederkehrender Bildstil) muss einmalig angelegt und für jedes Video verwendet werden.</w:t>
      </w:r>
    </w:p>
    <w:p>
      <w:pPr>
        <w:pStyle w:val="ListParagraph"/>
        <w:numPr>
          <w:ilvl w:val="0"/>
          <w:numId w:val="1"/>
        </w:numPr>
        <w:spacing w:after="80"/>
      </w:pPr>
      <w:r>
        <w:rPr>
          <w:b w:val="false"/>
          <w:bCs w:val="false"/>
        </w:rPr>
        <w:t xml:space="preserve">KI-Generatoren neigen bei emotionalen, metaphernreichen Inhalten zu Klischee-Bildern oder unpassenden Szenenübergängen – ein manueller Check pro Video bleibt sinnvoll.</w:t>
      </w:r>
    </w:p>
    <w:p>
      <w:pPr>
        <w:pStyle w:val="ListParagraph"/>
        <w:numPr>
          <w:ilvl w:val="0"/>
          <w:numId w:val="1"/>
        </w:numPr>
        <w:spacing w:after="80"/>
      </w:pPr>
      <w:r>
        <w:rPr>
          <w:b w:val="false"/>
          <w:bCs w:val="false"/>
        </w:rPr>
        <w:t xml:space="preserve">Stimmauswahl bewusst einmalig festlegen (ruhig, ernst, dynamisch), nicht bei jedem Video neu zufällig wählen lassen.</w:t>
      </w:r>
    </w:p>
    <w:p>
      <w:pPr>
        <w:pStyle w:val="ListParagraph"/>
        <w:numPr>
          <w:ilvl w:val="0"/>
          <w:numId w:val="1"/>
        </w:numPr>
        <w:spacing w:after="80"/>
      </w:pPr>
      <w:r>
        <w:rPr>
          <w:b w:val="false"/>
          <w:bCs w:val="false"/>
        </w:rPr>
        <w:t xml:space="preserve">Scheduling-Tools erlauben je nach Plattform-API unterschiedlich lange Vorlaufzeiten – ob eine Veröffentlichung schon im August für den 1.1. eingeplant werden kann, muss vorab beim jeweiligen Tool-Anbieter geprüft werden. Realistisch: Videos können jetzt schon produziert werden, das tatsächliche Einstellen in die Warteschlange ist bei manchen Plattformen erst 2–4 Wochen vor dem Wunschtermin möglich.</w:t>
      </w:r>
    </w:p>
    <w:p>
      <w:pPr>
        <w:pStyle w:val="Heading2"/>
        <w:spacing w:after="120" w:before="240"/>
      </w:pPr>
      <w:r>
        <w:t xml:space="preserve">17.2 Empfohlener Tool-Stack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1F4E5F" w:val="clear"/>
            <w:tcMar>
              <w:top w:type="dxa" w:w="80"/>
              <w:left w:type="dxa" w:w="100"/>
              <w:bottom w:type="dxa" w:w="80"/>
              <w:right w:type="dxa" w:w="100"/>
            </w:tcMar>
          </w:tcPr>
          <w:p>
            <w:r>
              <w:rPr>
                <w:b/>
                <w:bCs/>
                <w:color w:val="FFFFFF"/>
                <w:sz w:val="20"/>
                <w:szCs w:val="20"/>
              </w:rPr>
              <w:t xml:space="preserve">Aufgabe</w:t>
            </w:r>
          </w:p>
        </w:tc>
        <w:tc>
          <w:tcPr>
            <w:tcW w:type="dxa" w:w="6150"/>
            <w:shd w:fill="1F4E5F" w:val="clear"/>
            <w:tcMar>
              <w:top w:type="dxa" w:w="80"/>
              <w:left w:type="dxa" w:w="100"/>
              <w:bottom w:type="dxa" w:w="80"/>
              <w:right w:type="dxa" w:w="100"/>
            </w:tcMar>
          </w:tcPr>
          <w:p>
            <w:r>
              <w:rPr>
                <w:b/>
                <w:bCs/>
                <w:color w:val="FFFFFF"/>
                <w:sz w:val="20"/>
                <w:szCs w:val="20"/>
              </w:rPr>
              <w:t xml:space="preserve">Tool</w:t>
            </w:r>
          </w:p>
        </w:tc>
      </w:tr>
      <w:tr>
        <w:tc>
          <w:tcPr>
            <w:tcW w:type="dxa" w:w="3200"/>
            <w:shd w:fill="EAF1F3" w:val="clear"/>
            <w:tcMar>
              <w:top w:type="dxa" w:w="80"/>
              <w:left w:type="dxa" w:w="100"/>
              <w:bottom w:type="dxa" w:w="80"/>
              <w:right w:type="dxa" w:w="100"/>
            </w:tcMar>
          </w:tcPr>
          <w:p>
            <w:r>
              <w:rPr>
                <w:b w:val="false"/>
                <w:bCs w:val="false"/>
                <w:color w:val="000000"/>
                <w:sz w:val="20"/>
                <w:szCs w:val="20"/>
              </w:rPr>
              <w:t xml:space="preserve">Video-Produktion (Skript → fertiges Video)</w:t>
            </w:r>
          </w:p>
        </w:tc>
        <w:tc>
          <w:tcPr>
            <w:tcW w:type="dxa" w:w="6150"/>
            <w:tcMar>
              <w:top w:type="dxa" w:w="80"/>
              <w:left w:type="dxa" w:w="100"/>
              <w:bottom w:type="dxa" w:w="80"/>
              <w:right w:type="dxa" w:w="100"/>
            </w:tcMar>
          </w:tcPr>
          <w:p>
            <w:r>
              <w:rPr>
                <w:b w:val="false"/>
                <w:bCs w:val="false"/>
                <w:color w:val="000000"/>
                <w:sz w:val="20"/>
                <w:szCs w:val="20"/>
              </w:rPr>
              <w:t xml:space="preserve">InVideo AI – Text-zu-Video, Zugriff auf Sora 2 / Veo 3, über 16 Mio. Stock-Assets, Brand-Kit für Logo/Farben/Schrift, KI-Voiceover in über 50 Sprachen</w:t>
            </w:r>
          </w:p>
        </w:tc>
      </w:tr>
      <w:tr>
        <w:tc>
          <w:tcPr>
            <w:tcW w:type="dxa" w:w="3200"/>
            <w:shd w:fill="EAF1F3" w:val="clear"/>
            <w:tcMar>
              <w:top w:type="dxa" w:w="80"/>
              <w:left w:type="dxa" w:w="100"/>
              <w:bottom w:type="dxa" w:w="80"/>
              <w:right w:type="dxa" w:w="100"/>
            </w:tcMar>
          </w:tcPr>
          <w:p>
            <w:r>
              <w:rPr>
                <w:b w:val="false"/>
                <w:bCs w:val="false"/>
                <w:color w:val="000000"/>
                <w:sz w:val="20"/>
                <w:szCs w:val="20"/>
              </w:rPr>
              <w:t xml:space="preserve">Alternative bei stärkerem TikTok-Look</w:t>
            </w:r>
          </w:p>
        </w:tc>
        <w:tc>
          <w:tcPr>
            <w:tcW w:type="dxa" w:w="6150"/>
            <w:tcMar>
              <w:top w:type="dxa" w:w="80"/>
              <w:left w:type="dxa" w:w="100"/>
              <w:bottom w:type="dxa" w:w="80"/>
              <w:right w:type="dxa" w:w="100"/>
            </w:tcMar>
          </w:tcPr>
          <w:p>
            <w:r>
              <w:rPr>
                <w:b w:val="false"/>
                <w:bCs w:val="false"/>
                <w:color w:val="000000"/>
                <w:sz w:val="20"/>
                <w:szCs w:val="20"/>
              </w:rPr>
              <w:t xml:space="preserve">Higgsfield – Videos wirken authentischer und weniger wie filmische Demos, dafür etwas mehr Einarbeitung nötig</w:t>
            </w:r>
          </w:p>
        </w:tc>
      </w:tr>
      <w:tr>
        <w:tc>
          <w:tcPr>
            <w:tcW w:type="dxa" w:w="3200"/>
            <w:shd w:fill="EAF1F3" w:val="clear"/>
            <w:tcMar>
              <w:top w:type="dxa" w:w="80"/>
              <w:left w:type="dxa" w:w="100"/>
              <w:bottom w:type="dxa" w:w="80"/>
              <w:right w:type="dxa" w:w="100"/>
            </w:tcMar>
          </w:tcPr>
          <w:p>
            <w:r>
              <w:rPr>
                <w:b w:val="false"/>
                <w:bCs w:val="false"/>
                <w:color w:val="000000"/>
                <w:sz w:val="20"/>
                <w:szCs w:val="20"/>
              </w:rPr>
              <w:t xml:space="preserve">Cross-Plattform-Scheduling &amp; Auto-Publish</w:t>
            </w:r>
          </w:p>
        </w:tc>
        <w:tc>
          <w:tcPr>
            <w:tcW w:type="dxa" w:w="6150"/>
            <w:tcMar>
              <w:top w:type="dxa" w:w="80"/>
              <w:left w:type="dxa" w:w="100"/>
              <w:bottom w:type="dxa" w:w="80"/>
              <w:right w:type="dxa" w:w="100"/>
            </w:tcMar>
          </w:tcPr>
          <w:p>
            <w:r>
              <w:rPr>
                <w:b w:val="false"/>
                <w:bCs w:val="false"/>
                <w:color w:val="000000"/>
                <w:sz w:val="20"/>
                <w:szCs w:val="20"/>
              </w:rPr>
              <w:t xml:space="preserve">Metricool – deckt TikTok, Instagram, YouTube, LinkedIn ab, DSGVO-konform beworben, in D-A-CH etabliert; Alternative: PostNext</w:t>
            </w:r>
          </w:p>
        </w:tc>
      </w:tr>
      <w:tr>
        <w:tc>
          <w:tcPr>
            <w:tcW w:type="dxa" w:w="3200"/>
            <w:shd w:fill="EAF1F3" w:val="clear"/>
            <w:tcMar>
              <w:top w:type="dxa" w:w="80"/>
              <w:left w:type="dxa" w:w="100"/>
              <w:bottom w:type="dxa" w:w="80"/>
              <w:right w:type="dxa" w:w="100"/>
            </w:tcMar>
          </w:tcPr>
          <w:p>
            <w:r>
              <w:rPr>
                <w:b w:val="false"/>
                <w:bCs w:val="false"/>
                <w:color w:val="000000"/>
                <w:sz w:val="20"/>
                <w:szCs w:val="20"/>
              </w:rPr>
              <w:t xml:space="preserve">Qualitätskontrolle</w:t>
            </w:r>
          </w:p>
        </w:tc>
        <w:tc>
          <w:tcPr>
            <w:tcW w:type="dxa" w:w="6150"/>
            <w:tcMar>
              <w:top w:type="dxa" w:w="80"/>
              <w:left w:type="dxa" w:w="100"/>
              <w:bottom w:type="dxa" w:w="80"/>
              <w:right w:type="dxa" w:w="100"/>
            </w:tcMar>
          </w:tcPr>
          <w:p>
            <w:r>
              <w:rPr>
                <w:b w:val="false"/>
                <w:bCs w:val="false"/>
                <w:color w:val="000000"/>
                <w:sz w:val="20"/>
                <w:szCs w:val="20"/>
              </w:rPr>
              <w:t xml:space="preserve">Manuell, 1 Durchgang pro Video vor Freigabe in die Warteschlange</w:t>
            </w:r>
          </w:p>
        </w:tc>
      </w:tr>
    </w:tbl>
    <w:p>
      <w:pPr>
        <w:spacing w:after="200"/>
      </w:pPr>
    </w:p>
    <w:p>
      <w:pPr>
        <w:pStyle w:val="Heading2"/>
        <w:spacing w:after="120" w:before="240"/>
      </w:pPr>
      <w:r>
        <w:t xml:space="preserve">17.3 Anleitung: Von der Skript-Tabelle zum geplanten Post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c>
          <w:tcPr>
            <w:tcW w:type="dxa" w:w="3400"/>
            <w:shd w:fill="1F4E5F" w:val="clear"/>
            <w:tcMar>
              <w:top w:type="dxa" w:w="80"/>
              <w:left w:type="dxa" w:w="100"/>
              <w:bottom w:type="dxa" w:w="80"/>
              <w:right w:type="dxa" w:w="100"/>
            </w:tcMar>
          </w:tcPr>
          <w:p>
            <w:r>
              <w:rPr>
                <w:b/>
                <w:bCs/>
                <w:color w:val="FFFFFF"/>
                <w:sz w:val="20"/>
                <w:szCs w:val="20"/>
              </w:rPr>
              <w:t xml:space="preserve">Schritt</w:t>
            </w:r>
          </w:p>
        </w:tc>
        <w:tc>
          <w:tcPr>
            <w:tcW w:type="dxa" w:w="5950"/>
            <w:shd w:fill="1F4E5F" w:val="clear"/>
            <w:tcMar>
              <w:top w:type="dxa" w:w="80"/>
              <w:left w:type="dxa" w:w="100"/>
              <w:bottom w:type="dxa" w:w="80"/>
              <w:right w:type="dxa" w:w="100"/>
            </w:tcMar>
          </w:tcPr>
          <w:p>
            <w:r>
              <w:rPr>
                <w:b/>
                <w:bCs/>
                <w:color w:val="FFFFFF"/>
                <w:sz w:val="20"/>
                <w:szCs w:val="20"/>
              </w:rPr>
              <w:t xml:space="preserve">Beschreibung</w:t>
            </w:r>
          </w:p>
        </w:tc>
      </w:tr>
      <w:tr>
        <w:tc>
          <w:tcPr>
            <w:tcW w:type="dxa" w:w="3400"/>
            <w:shd w:fill="EAF1F3" w:val="clear"/>
            <w:tcMar>
              <w:top w:type="dxa" w:w="80"/>
              <w:left w:type="dxa" w:w="100"/>
              <w:bottom w:type="dxa" w:w="80"/>
              <w:right w:type="dxa" w:w="100"/>
            </w:tcMar>
          </w:tcPr>
          <w:p>
            <w:r>
              <w:rPr>
                <w:b w:val="false"/>
                <w:bCs w:val="false"/>
                <w:color w:val="000000"/>
                <w:sz w:val="20"/>
                <w:szCs w:val="20"/>
              </w:rPr>
              <w:t xml:space="preserve">1. InVideo-Konto anlegen &amp; Brand-Kit einrichten</w:t>
            </w:r>
          </w:p>
        </w:tc>
        <w:tc>
          <w:tcPr>
            <w:tcW w:type="dxa" w:w="5950"/>
            <w:tcMar>
              <w:top w:type="dxa" w:w="80"/>
              <w:left w:type="dxa" w:w="100"/>
              <w:bottom w:type="dxa" w:w="80"/>
              <w:right w:type="dxa" w:w="100"/>
            </w:tcMar>
          </w:tcPr>
          <w:p>
            <w:r>
              <w:rPr>
                <w:b w:val="false"/>
                <w:bCs w:val="false"/>
                <w:color w:val="000000"/>
                <w:sz w:val="20"/>
                <w:szCs w:val="20"/>
              </w:rPr>
              <w:t xml:space="preserve">Auf invideo.io registrieren, Plan wählen. Unter "Brand Kit" Logo, Markenfarben (z. B. Blau-/Grauton passend zum Flussbett-/Chart-Motiv) und Schriftart einmalig hinterlegen – wird danach automatisch in jedes Video übernommen.</w:t>
            </w:r>
          </w:p>
        </w:tc>
      </w:tr>
      <w:tr>
        <w:tc>
          <w:tcPr>
            <w:tcW w:type="dxa" w:w="3400"/>
            <w:shd w:fill="EAF1F3" w:val="clear"/>
            <w:tcMar>
              <w:top w:type="dxa" w:w="80"/>
              <w:left w:type="dxa" w:w="100"/>
              <w:bottom w:type="dxa" w:w="80"/>
              <w:right w:type="dxa" w:w="100"/>
            </w:tcMar>
          </w:tcPr>
          <w:p>
            <w:r>
              <w:rPr>
                <w:b w:val="false"/>
                <w:bCs w:val="false"/>
                <w:color w:val="000000"/>
                <w:sz w:val="20"/>
                <w:szCs w:val="20"/>
              </w:rPr>
              <w:t xml:space="preserve">2. Stimme einmalig festlegen</w:t>
            </w:r>
          </w:p>
        </w:tc>
        <w:tc>
          <w:tcPr>
            <w:tcW w:type="dxa" w:w="5950"/>
            <w:tcMar>
              <w:top w:type="dxa" w:w="80"/>
              <w:left w:type="dxa" w:w="100"/>
              <w:bottom w:type="dxa" w:w="80"/>
              <w:right w:type="dxa" w:w="100"/>
            </w:tcMar>
          </w:tcPr>
          <w:p>
            <w:r>
              <w:rPr>
                <w:b w:val="false"/>
                <w:bCs w:val="false"/>
                <w:color w:val="000000"/>
                <w:sz w:val="20"/>
                <w:szCs w:val="20"/>
              </w:rPr>
              <w:t xml:space="preserve">Im Voiceover-Menü eine männliche, ruhig-ernste, dynamische Stimme auswählen und als Standard für das Projekt speichern, damit alle 5 Teile klanglich identisch bleiben.</w:t>
            </w:r>
          </w:p>
        </w:tc>
      </w:tr>
      <w:tr>
        <w:tc>
          <w:tcPr>
            <w:tcW w:type="dxa" w:w="3400"/>
            <w:shd w:fill="EAF1F3" w:val="clear"/>
            <w:tcMar>
              <w:top w:type="dxa" w:w="80"/>
              <w:left w:type="dxa" w:w="100"/>
              <w:bottom w:type="dxa" w:w="80"/>
              <w:right w:type="dxa" w:w="100"/>
            </w:tcMar>
          </w:tcPr>
          <w:p>
            <w:r>
              <w:rPr>
                <w:b w:val="false"/>
                <w:bCs w:val="false"/>
                <w:color w:val="000000"/>
                <w:sz w:val="20"/>
                <w:szCs w:val="20"/>
              </w:rPr>
              <w:t xml:space="preserve">3. Skript-Tabelle pro Teil einfügen</w:t>
            </w:r>
          </w:p>
        </w:tc>
        <w:tc>
          <w:tcPr>
            <w:tcW w:type="dxa" w:w="5950"/>
            <w:tcMar>
              <w:top w:type="dxa" w:w="80"/>
              <w:left w:type="dxa" w:w="100"/>
              <w:bottom w:type="dxa" w:w="80"/>
              <w:right w:type="dxa" w:w="100"/>
            </w:tcMar>
          </w:tcPr>
          <w:p>
            <w:r>
              <w:rPr>
                <w:b w:val="false"/>
                <w:bCs w:val="false"/>
                <w:color w:val="000000"/>
                <w:sz w:val="20"/>
                <w:szCs w:val="20"/>
              </w:rPr>
              <w:t xml:space="preserve">Für Teil 1 die Spalten "Zeit / Visuelle Anweisung / Voiceover" aus Kapitel 7 des Dokuments in das InVideo-AI-Eingabefeld kopieren, mit dem Hinweis: "Erstelle ein 60-Sekunden-Short im Hochformat 9:16, nutze diese Struktur für Text- und Bildübergänge."</w:t>
            </w:r>
          </w:p>
        </w:tc>
      </w:tr>
      <w:tr>
        <w:tc>
          <w:tcPr>
            <w:tcW w:type="dxa" w:w="3400"/>
            <w:shd w:fill="EAF1F3" w:val="clear"/>
            <w:tcMar>
              <w:top w:type="dxa" w:w="80"/>
              <w:left w:type="dxa" w:w="100"/>
              <w:bottom w:type="dxa" w:w="80"/>
              <w:right w:type="dxa" w:w="100"/>
            </w:tcMar>
          </w:tcPr>
          <w:p>
            <w:r>
              <w:rPr>
                <w:b w:val="false"/>
                <w:bCs w:val="false"/>
                <w:color w:val="000000"/>
                <w:sz w:val="20"/>
                <w:szCs w:val="20"/>
              </w:rPr>
              <w:t xml:space="preserve">4. Rohvideo generieren lassen</w:t>
            </w:r>
          </w:p>
        </w:tc>
        <w:tc>
          <w:tcPr>
            <w:tcW w:type="dxa" w:w="5950"/>
            <w:tcMar>
              <w:top w:type="dxa" w:w="80"/>
              <w:left w:type="dxa" w:w="100"/>
              <w:bottom w:type="dxa" w:w="80"/>
              <w:right w:type="dxa" w:w="100"/>
            </w:tcMar>
          </w:tcPr>
          <w:p>
            <w:r>
              <w:rPr>
                <w:b w:val="false"/>
                <w:bCs w:val="false"/>
                <w:color w:val="000000"/>
                <w:sz w:val="20"/>
                <w:szCs w:val="20"/>
              </w:rPr>
              <w:t xml:space="preserve">InVideo erzeugt Szenenaufbau, passendes Stock-/KI-Bildmaterial, Voiceover, Musik und automatische Untertitel. Je nach Länge dauert das wenige Minuten.</w:t>
            </w:r>
          </w:p>
        </w:tc>
      </w:tr>
      <w:tr>
        <w:tc>
          <w:tcPr>
            <w:tcW w:type="dxa" w:w="3400"/>
            <w:shd w:fill="EAF1F3" w:val="clear"/>
            <w:tcMar>
              <w:top w:type="dxa" w:w="80"/>
              <w:left w:type="dxa" w:w="100"/>
              <w:bottom w:type="dxa" w:w="80"/>
              <w:right w:type="dxa" w:w="100"/>
            </w:tcMar>
          </w:tcPr>
          <w:p>
            <w:r>
              <w:rPr>
                <w:b w:val="false"/>
                <w:bCs w:val="false"/>
                <w:color w:val="000000"/>
                <w:sz w:val="20"/>
                <w:szCs w:val="20"/>
              </w:rPr>
              <w:t xml:space="preserve">5. Manuelle Qualitätskontrolle</w:t>
            </w:r>
          </w:p>
        </w:tc>
        <w:tc>
          <w:tcPr>
            <w:tcW w:type="dxa" w:w="5950"/>
            <w:tcMar>
              <w:top w:type="dxa" w:w="80"/>
              <w:left w:type="dxa" w:w="100"/>
              <w:bottom w:type="dxa" w:w="80"/>
              <w:right w:type="dxa" w:w="100"/>
            </w:tcMar>
          </w:tcPr>
          <w:p>
            <w:r>
              <w:rPr>
                <w:b w:val="false"/>
                <w:bCs w:val="false"/>
                <w:color w:val="000000"/>
                <w:sz w:val="20"/>
                <w:szCs w:val="20"/>
              </w:rPr>
              <w:t xml:space="preserve">Video ansehen: Stimmen Bilder zur Metapher (Flussbett, Steinzeitmensch, DAX-Chart)? Ist kein Aktien-Tickersymbol lesbar (siehe Kapitel 12)? Wirkt der Bildstil konsistent zum Brand-Kit? Bei Bedarf einzelne Szenen austauschen.</w:t>
            </w:r>
          </w:p>
        </w:tc>
      </w:tr>
      <w:tr>
        <w:tc>
          <w:tcPr>
            <w:tcW w:type="dxa" w:w="3400"/>
            <w:shd w:fill="EAF1F3" w:val="clear"/>
            <w:tcMar>
              <w:top w:type="dxa" w:w="80"/>
              <w:left w:type="dxa" w:w="100"/>
              <w:bottom w:type="dxa" w:w="80"/>
              <w:right w:type="dxa" w:w="100"/>
            </w:tcMar>
          </w:tcPr>
          <w:p>
            <w:r>
              <w:rPr>
                <w:b w:val="false"/>
                <w:bCs w:val="false"/>
                <w:color w:val="000000"/>
                <w:sz w:val="20"/>
                <w:szCs w:val="20"/>
              </w:rPr>
              <w:t xml:space="preserve">6. Schritt 3–5 für Teil 2 bis 5 wiederholen</w:t>
            </w:r>
          </w:p>
        </w:tc>
        <w:tc>
          <w:tcPr>
            <w:tcW w:type="dxa" w:w="5950"/>
            <w:tcMar>
              <w:top w:type="dxa" w:w="80"/>
              <w:left w:type="dxa" w:w="100"/>
              <w:bottom w:type="dxa" w:w="80"/>
              <w:right w:type="dxa" w:w="100"/>
            </w:tcMar>
          </w:tcPr>
          <w:p>
            <w:r>
              <w:rPr>
                <w:b w:val="false"/>
                <w:bCs w:val="false"/>
                <w:color w:val="000000"/>
                <w:sz w:val="20"/>
                <w:szCs w:val="20"/>
              </w:rPr>
              <w:t xml:space="preserve">Gleicher Ablauf für alle fünf Skripte aus den Kapiteln 8–11 des Dokuments, damit der rote Faden visuell und akustisch durchgehend bleibt.</w:t>
            </w:r>
          </w:p>
        </w:tc>
      </w:tr>
      <w:tr>
        <w:tc>
          <w:tcPr>
            <w:tcW w:type="dxa" w:w="3400"/>
            <w:shd w:fill="EAF1F3" w:val="clear"/>
            <w:tcMar>
              <w:top w:type="dxa" w:w="80"/>
              <w:left w:type="dxa" w:w="100"/>
              <w:bottom w:type="dxa" w:w="80"/>
              <w:right w:type="dxa" w:w="100"/>
            </w:tcMar>
          </w:tcPr>
          <w:p>
            <w:r>
              <w:rPr>
                <w:b w:val="false"/>
                <w:bCs w:val="false"/>
                <w:color w:val="000000"/>
                <w:sz w:val="20"/>
                <w:szCs w:val="20"/>
              </w:rPr>
              <w:t xml:space="preserve">7. Fertige Videos exportieren</w:t>
            </w:r>
          </w:p>
        </w:tc>
        <w:tc>
          <w:tcPr>
            <w:tcW w:type="dxa" w:w="5950"/>
            <w:tcMar>
              <w:top w:type="dxa" w:w="80"/>
              <w:left w:type="dxa" w:w="100"/>
              <w:bottom w:type="dxa" w:w="80"/>
              <w:right w:type="dxa" w:w="100"/>
            </w:tcMar>
          </w:tcPr>
          <w:p>
            <w:r>
              <w:rPr>
                <w:b w:val="false"/>
                <w:bCs w:val="false"/>
                <w:color w:val="000000"/>
                <w:sz w:val="20"/>
                <w:szCs w:val="20"/>
              </w:rPr>
              <w:t xml:space="preserve">Export im Hochformat 9:16, MP4, für TikTok/Reels/Shorts geeignete Auflösung (mind. 1080×1920px).</w:t>
            </w:r>
          </w:p>
        </w:tc>
      </w:tr>
      <w:tr>
        <w:tc>
          <w:tcPr>
            <w:tcW w:type="dxa" w:w="3400"/>
            <w:shd w:fill="EAF1F3" w:val="clear"/>
            <w:tcMar>
              <w:top w:type="dxa" w:w="80"/>
              <w:left w:type="dxa" w:w="100"/>
              <w:bottom w:type="dxa" w:w="80"/>
              <w:right w:type="dxa" w:w="100"/>
            </w:tcMar>
          </w:tcPr>
          <w:p>
            <w:r>
              <w:rPr>
                <w:b w:val="false"/>
                <w:bCs w:val="false"/>
                <w:color w:val="000000"/>
                <w:sz w:val="20"/>
                <w:szCs w:val="20"/>
              </w:rPr>
              <w:t xml:space="preserve">8. Metricool-Konto verbinden</w:t>
            </w:r>
          </w:p>
        </w:tc>
        <w:tc>
          <w:tcPr>
            <w:tcW w:type="dxa" w:w="5950"/>
            <w:tcMar>
              <w:top w:type="dxa" w:w="80"/>
              <w:left w:type="dxa" w:w="100"/>
              <w:bottom w:type="dxa" w:w="80"/>
              <w:right w:type="dxa" w:w="100"/>
            </w:tcMar>
          </w:tcPr>
          <w:p>
            <w:r>
              <w:rPr>
                <w:b w:val="false"/>
                <w:bCs w:val="false"/>
                <w:color w:val="000000"/>
                <w:sz w:val="20"/>
                <w:szCs w:val="20"/>
              </w:rPr>
              <w:t xml:space="preserve">Auf metricool.com registrieren, TikTok-, Instagram-, YouTube- und LinkedIn-Konten aus Kapitel 15 verbinden (Business-/Profi-Konten vorausgesetzt).</w:t>
            </w:r>
          </w:p>
        </w:tc>
      </w:tr>
      <w:tr>
        <w:tc>
          <w:tcPr>
            <w:tcW w:type="dxa" w:w="3400"/>
            <w:shd w:fill="EAF1F3" w:val="clear"/>
            <w:tcMar>
              <w:top w:type="dxa" w:w="80"/>
              <w:left w:type="dxa" w:w="100"/>
              <w:bottom w:type="dxa" w:w="80"/>
              <w:right w:type="dxa" w:w="100"/>
            </w:tcMar>
          </w:tcPr>
          <w:p>
            <w:r>
              <w:rPr>
                <w:b w:val="false"/>
                <w:bCs w:val="false"/>
                <w:color w:val="000000"/>
                <w:sz w:val="20"/>
                <w:szCs w:val="20"/>
              </w:rPr>
              <w:t xml:space="preserve">9. Beiträge im Kalender anlegen</w:t>
            </w:r>
          </w:p>
        </w:tc>
        <w:tc>
          <w:tcPr>
            <w:tcW w:type="dxa" w:w="5950"/>
            <w:tcMar>
              <w:top w:type="dxa" w:w="80"/>
              <w:left w:type="dxa" w:w="100"/>
              <w:bottom w:type="dxa" w:w="80"/>
              <w:right w:type="dxa" w:w="100"/>
            </w:tcMar>
          </w:tcPr>
          <w:p>
            <w:r>
              <w:rPr>
                <w:b w:val="false"/>
                <w:bCs w:val="false"/>
                <w:color w:val="000000"/>
                <w:sz w:val="20"/>
                <w:szCs w:val="20"/>
              </w:rPr>
              <w:t xml:space="preserve">Für jedes der 5 Videos einen Beitrag anlegen, fertigen Videoexport hochladen, plattformspezifischen Text/Hashtags ergänzen, gewünschtes Veröffentlichungsdatum laut Zeitplan aus Kapitel 5/14 eintragen.</w:t>
            </w:r>
          </w:p>
        </w:tc>
      </w:tr>
      <w:tr>
        <w:tc>
          <w:tcPr>
            <w:tcW w:type="dxa" w:w="3400"/>
            <w:shd w:fill="EAF1F3" w:val="clear"/>
            <w:tcMar>
              <w:top w:type="dxa" w:w="80"/>
              <w:left w:type="dxa" w:w="100"/>
              <w:bottom w:type="dxa" w:w="80"/>
              <w:right w:type="dxa" w:w="100"/>
            </w:tcMar>
          </w:tcPr>
          <w:p>
            <w:r>
              <w:rPr>
                <w:b w:val="false"/>
                <w:bCs w:val="false"/>
                <w:color w:val="000000"/>
                <w:sz w:val="20"/>
                <w:szCs w:val="20"/>
              </w:rPr>
              <w:t xml:space="preserve">10. Vorlaufzeit-Limit prüfen</w:t>
            </w:r>
          </w:p>
        </w:tc>
        <w:tc>
          <w:tcPr>
            <w:tcW w:type="dxa" w:w="5950"/>
            <w:tcMar>
              <w:top w:type="dxa" w:w="80"/>
              <w:left w:type="dxa" w:w="100"/>
              <w:bottom w:type="dxa" w:w="80"/>
              <w:right w:type="dxa" w:w="100"/>
            </w:tcMar>
          </w:tcPr>
          <w:p>
            <w:r>
              <w:rPr>
                <w:b w:val="false"/>
                <w:bCs w:val="false"/>
                <w:color w:val="000000"/>
                <w:sz w:val="20"/>
                <w:szCs w:val="20"/>
              </w:rPr>
              <w:t xml:space="preserve">Vorab bei Metricool klären, wie weit im Voraus TikTok/Instagram eine Veröffentlichung akzeptieren. Falls das gewünschte Datum außerhalb des Limits liegt, Beiträge zum frühestmöglichen Zeitpunkt in die Warteschlange stellen, nicht schon jetzt fix einplanen.</w:t>
            </w:r>
          </w:p>
        </w:tc>
      </w:tr>
      <w:tr>
        <w:tc>
          <w:tcPr>
            <w:tcW w:type="dxa" w:w="3400"/>
            <w:shd w:fill="EAF1F3" w:val="clear"/>
            <w:tcMar>
              <w:top w:type="dxa" w:w="80"/>
              <w:left w:type="dxa" w:w="100"/>
              <w:bottom w:type="dxa" w:w="80"/>
              <w:right w:type="dxa" w:w="100"/>
            </w:tcMar>
          </w:tcPr>
          <w:p>
            <w:r>
              <w:rPr>
                <w:b w:val="false"/>
                <w:bCs w:val="false"/>
                <w:color w:val="000000"/>
                <w:sz w:val="20"/>
                <w:szCs w:val="20"/>
              </w:rPr>
              <w:t xml:space="preserve">11. Letzter Check vor 1.1.2027</w:t>
            </w:r>
          </w:p>
        </w:tc>
        <w:tc>
          <w:tcPr>
            <w:tcW w:type="dxa" w:w="5950"/>
            <w:tcMar>
              <w:top w:type="dxa" w:w="80"/>
              <w:left w:type="dxa" w:w="100"/>
              <w:bottom w:type="dxa" w:w="80"/>
              <w:right w:type="dxa" w:w="100"/>
            </w:tcMar>
          </w:tcPr>
          <w:p>
            <w:r>
              <w:rPr>
                <w:b w:val="false"/>
                <w:bCs w:val="false"/>
                <w:color w:val="000000"/>
                <w:sz w:val="20"/>
                <w:szCs w:val="20"/>
              </w:rPr>
              <w:t xml:space="preserve">Kurz vor dem Launch-Fenster alle geplanten Beiträge im Metricool-Kalender nochmals gegenprüfen: richtige Reihenfolge, richtige Uhrzeit, CTA-Text passend zur jeweiligen Phase (Warteliste vor 1.1., Blog-Link ab 1.1.).</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2026-08-17T22:04:21.368Z</dcterms:created>
  <dcterms:modified xsi:type="dcterms:W3CDTF">2026-08-17T22:04:21.382Z</dcterms:modified>
</cp:coreProperties>
</file>

<file path=docProps/custom.xml><?xml version="1.0" encoding="utf-8"?>
<Properties xmlns="http://schemas.openxmlformats.org/officeDocument/2006/custom-properties" xmlns:vt="http://schemas.openxmlformats.org/officeDocument/2006/docPropsVTypes"/>
</file>