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b/>
          <w:bCs/>
          <w:color w:val="1E3A5F"/>
          <w:sz w:val="56"/>
          <w:szCs w:val="56"/>
        </w:rPr>
        <w:t xml:space="preserve">Der digitale Fliegenfänger</w:t>
      </w:r>
    </w:p>
    <w:p>
      <w:pPr>
        <w:spacing w:after="60"/>
        <w:jc w:val="center"/>
      </w:pPr>
      <w:r>
        <w:rPr>
          <w:color w:val="666666"/>
          <w:sz w:val="26"/>
          <w:szCs w:val="26"/>
        </w:rPr>
        <w:t xml:space="preserve">Verträge nachschärfen, Fixkosten halbieren und</w:t>
      </w:r>
    </w:p>
    <w:p>
      <w:pPr>
        <w:spacing w:after="800"/>
        <w:jc w:val="center"/>
      </w:pPr>
      <w:r>
        <w:rPr>
          <w:color w:val="666666"/>
          <w:sz w:val="26"/>
          <w:szCs w:val="26"/>
        </w:rPr>
        <w:t xml:space="preserve">unbemerktes Cash-Bleeding stoppen</w:t>
      </w:r>
    </w:p>
    <w:p>
      <w:pPr>
        <w:spacing w:after="200"/>
        <w:jc w:val="center"/>
      </w:pPr>
      <w:r>
        <w:rPr>
          <w:i/>
          <w:iCs/>
          <w:color w:val="1E8E5A"/>
          <w:sz w:val="22"/>
          <w:szCs w:val="22"/>
        </w:rPr>
        <w:t xml:space="preserve">Ein Finanzritual-eBook</w:t>
      </w:r>
    </w:p>
    <w:p>
      <w:pPr>
        <w:jc w:val="center"/>
      </w:pPr>
      <w:r>
        <w:rPr>
          <w:color w:val="666666"/>
          <w:sz w:val="20"/>
          <w:szCs w:val="20"/>
        </w:rPr>
        <w:t xml:space="preserve">finanz-ritual.de</w:t>
      </w:r>
    </w:p>
    <w:p>
      <w:r>
        <w:br w:type="page"/>
      </w:r>
    </w:p>
    <w:p>
      <w:pPr>
        <w:pStyle w:val="Heading1"/>
        <w:spacing w:after="240" w:before="480"/>
      </w:pPr>
      <w:r>
        <w:t xml:space="preserve">Inhaltsverzeichnis</w:t>
      </w:r>
    </w:p>
    <w:p>
      <w:pPr>
        <w:tabs>
          <w:tab w:val="right" w:pos="9026" w:leader="dot"/>
        </w:tabs>
        <w:spacing w:after="160"/>
      </w:pPr>
      <w:r>
        <w:t xml:space="preserve">Vorwort</w:t>
      </w:r>
      <w:r>
        <w:t xml:space="preserve">	3</w:t>
      </w:r>
    </w:p>
    <w:p>
      <w:pPr>
        <w:tabs>
          <w:tab w:val="right" w:pos="9026" w:leader="dot"/>
        </w:tabs>
        <w:spacing w:after="160"/>
      </w:pPr>
      <w:r>
        <w:t xml:space="preserve">Einleitung: Willkommen in Ihrem finanziellen Kontrollzentrum</w:t>
      </w:r>
      <w:r>
        <w:t xml:space="preserve">	4</w:t>
      </w:r>
    </w:p>
    <w:p>
      <w:pPr>
        <w:tabs>
          <w:tab w:val="right" w:pos="9026" w:leader="dot"/>
        </w:tabs>
        <w:spacing w:after="160"/>
      </w:pPr>
      <w:r>
        <w:t xml:space="preserve">Kapitel 1: Das 2-Monate-Experiment &amp; die Excel-Basis</w:t>
      </w:r>
      <w:r>
        <w:t xml:space="preserve">	5</w:t>
      </w:r>
    </w:p>
    <w:p>
      <w:pPr>
        <w:tabs>
          <w:tab w:val="right" w:pos="9026" w:leader="dot"/>
        </w:tabs>
        <w:spacing w:after="160"/>
      </w:pPr>
      <w:r>
        <w:t xml:space="preserve">Kapitel 2: Die ungesehenen Stromfresser</w:t>
      </w:r>
      <w:r>
        <w:t xml:space="preserve">	6</w:t>
      </w:r>
    </w:p>
    <w:p>
      <w:pPr>
        <w:tabs>
          <w:tab w:val="right" w:pos="9026" w:leader="dot"/>
        </w:tabs>
        <w:spacing w:after="160"/>
      </w:pPr>
      <w:r>
        <w:t xml:space="preserve">Kapitel 3: Das Kündigungs- &amp; Fristenradar</w:t>
      </w:r>
      <w:r>
        <w:t xml:space="preserve">	9</w:t>
      </w:r>
    </w:p>
    <w:p>
      <w:pPr>
        <w:tabs>
          <w:tab w:val="right" w:pos="9026" w:leader="dot"/>
        </w:tabs>
        <w:spacing w:after="160"/>
      </w:pPr>
      <w:r>
        <w:t xml:space="preserve">Kapitel 4: Die kollaborative Nachbarschafts-Rendite</w:t>
      </w:r>
      <w:r>
        <w:t xml:space="preserve">	11</w:t>
      </w:r>
    </w:p>
    <w:p>
      <w:pPr>
        <w:tabs>
          <w:tab w:val="right" w:pos="9026" w:leader="dot"/>
        </w:tabs>
        <w:spacing w:after="160"/>
      </w:pPr>
      <w:r>
        <w:t xml:space="preserve">Kapitel 5: Die Spar-Matrix</w:t>
      </w:r>
      <w:r>
        <w:t xml:space="preserve">	13</w:t>
      </w:r>
    </w:p>
    <w:p>
      <w:pPr>
        <w:tabs>
          <w:tab w:val="right" w:pos="9026" w:leader="dot"/>
        </w:tabs>
        <w:spacing w:after="160"/>
      </w:pPr>
      <w:r>
        <w:t xml:space="preserve">Fazit: Das System arbeitet für Sie</w:t>
      </w:r>
      <w:r>
        <w:t xml:space="preserve">	15</w:t>
      </w:r>
    </w:p>
    <w:p>
      <w:pPr>
        <w:tabs>
          <w:tab w:val="right" w:pos="9026" w:leader="dot"/>
        </w:tabs>
        <w:spacing w:after="160"/>
      </w:pPr>
      <w:r>
        <w:t xml:space="preserve">Anhang: Excel-Formel-Anleitung</w:t>
      </w:r>
      <w:r>
        <w:t xml:space="preserve">	16</w:t>
      </w:r>
    </w:p>
    <w:p>
      <w:r>
        <w:br w:type="page"/>
      </w:r>
    </w:p>
    <w:p>
      <w:pPr>
        <w:pStyle w:val="Heading1"/>
        <w:spacing w:after="240" w:before="480"/>
      </w:pPr>
      <w:r>
        <w:t xml:space="preserve">Vorwort</w:t>
      </w:r>
    </w:p>
    <w:p>
      <w:pPr>
        <w:spacing w:after="260" w:line="340"/>
        <w:jc w:val="both"/>
      </w:pPr>
      <w:r>
        <w:t xml:space="preserve">Liebe Leserin, lieber Leser,</w:t>
      </w:r>
    </w:p>
    <w:p>
      <w:pPr>
        <w:spacing w:after="260" w:line="340"/>
        <w:jc w:val="both"/>
      </w:pPr>
      <w:r>
        <w:t xml:space="preserve">ich will ehrlich zu Ihnen sein: Ich bin absolut kein Freund von permanenter Erbsenzählerei. Die Vorstellung, den Rest meines Lebens jeden Kassenbon einzuscannen, jede Kugel Eis zu protokollieren und sich selbst permanent einzuschränken, klingt für mich nicht nach finanzieller Freiheit, sondern nach einem digitalen Gefängnis.</w:t>
      </w:r>
    </w:p>
    <w:p>
      <w:pPr>
        <w:spacing w:after="260" w:line="340"/>
        <w:jc w:val="both"/>
      </w:pPr>
      <w:r>
        <w:t xml:space="preserve">Dieses Buch ist anders. Es wurde nicht von einem verbissenen Verzichtsprediger geschrieben, sondern von jemandem, der die großen, oft unsichtbaren Hebel des Alltags sucht. Es geht hier nicht darum, ob Sie sich den Kaffee unterwegs gönnen oder nicht. Es geht um die Verträge, die im Hintergrund lautlos an Ihrem Kontostand nagen. Es geht um die 41-Watt-Deckenfluter, die unbemerkt im Standby-Modus über hundert Euro im Jahr verheizen. Und es geht um die moderne „Shared Economy“ – wie man durch clevere Absprachen mit Nachbarn Fixkosten wie WLAN, Fitness oder Lebensmittel radikal drückt, ohne an Lebensqualität zu verlieren.</w:t>
      </w:r>
    </w:p>
    <w:p>
      <w:pPr>
        <w:spacing w:after="260" w:line="340"/>
        <w:jc w:val="both"/>
      </w:pPr>
      <w:r>
        <w:t xml:space="preserve">Alles, was ich von Ihnen fordere, sind zwei Monate. Zwei Monate Fokus mit einer einfachen Excel-Tabelle, um Ihr finanzielles Fundament ein für alle Mal nachzuschärfen. Danach läuft Ihr System fast von alleine.</w:t>
      </w:r>
    </w:p>
    <w:p>
      <w:r>
        <w:br w:type="page"/>
      </w:r>
    </w:p>
    <w:p>
      <w:pPr>
        <w:pStyle w:val="Heading1"/>
        <w:spacing w:after="240" w:before="480"/>
      </w:pPr>
      <w:r>
        <w:t xml:space="preserve">Einleitung: Willkommen in Ihrem finanziellen Kontrollzentrum</w:t>
      </w:r>
    </w:p>
    <w:p>
      <w:pPr>
        <w:spacing w:after="260" w:line="340"/>
        <w:jc w:val="both"/>
      </w:pPr>
      <w:r>
        <w:t xml:space="preserve">Warum scheitern die meisten Menschen an klassischen Haushaltsbüchern? Weil sie zu viel wollen und den Fokus verlieren. Sie tracken drei Wochen lang jeden Cent und geben dann frustriert auf, weil der Aufwand den Nutzen übersteigt.</w:t>
      </w:r>
    </w:p>
    <w:p>
      <w:pPr>
        <w:spacing w:after="260" w:line="340"/>
        <w:jc w:val="both"/>
      </w:pPr>
      <w:r>
        <w:t xml:space="preserve">In diesem E-Book drehen wir den Spieß um. Wir konzentrieren uns ausschließlich auf die Posten mit der größten Hebelwirkung: Dauer-Abos, wiederkehrende E-Rechnungen, bürokratische Fristen und ungenutzte Synergien in Ihrem direkten Umfeld. Wir bauen kein Buchhaltungssystem für ein Großunternehmen, sondern Ihr persönliches, digitales Kontrollzentrum.</w:t>
      </w:r>
    </w:p>
    <w:p>
      <w:pPr>
        <w:pStyle w:val="Heading2"/>
        <w:spacing w:after="160" w:before="320"/>
      </w:pPr>
      <w:r>
        <w:t xml:space="preserve">Was Sie in diesem Buch lernen werden</w:t>
      </w:r>
    </w:p>
    <w:p>
      <w:pPr>
        <w:spacing w:after="260" w:line="340"/>
        <w:jc w:val="both"/>
      </w:pPr>
      <w:r>
        <w:t xml:space="preserve">In den folgenden fünf Kapiteln führen wir Sie Schritt für Schritt durch eine Strategie, die sofortige Entlastung bringt und gleichzeitig langfristige Vermögenswerte schafft:</w:t>
      </w:r>
    </w:p>
    <w:p>
      <w:pPr>
        <w:pStyle w:val="ListParagraph"/>
        <w:numPr>
          <w:ilvl w:val="0"/>
          <w:numId w:val="2"/>
        </w:numPr>
        <w:spacing w:after="120"/>
      </w:pPr>
      <w:r>
        <w:t xml:space="preserve">Das 2-Monate-Experiment: Wie Sie mit minimalem Zeitaufwand Ihre Excel-Vorlage so aufsetzen, dass sie die echten Geldfresser sofort entlarvt.</w:t>
      </w:r>
    </w:p>
    <w:p>
      <w:pPr>
        <w:pStyle w:val="ListParagraph"/>
        <w:numPr>
          <w:ilvl w:val="0"/>
          <w:numId w:val="2"/>
        </w:numPr>
        <w:spacing w:after="120"/>
      </w:pPr>
      <w:r>
        <w:t xml:space="preserve">Die ungesehenen Stromfresser: Eine persönliche Anekdote darüber, wie ein einziger, ausgeschalteter Deckenfluter jahrelang unbemerkt Geld verbrannt hat – und wie Sie solche Lecks bei sich schließen.</w:t>
      </w:r>
    </w:p>
    <w:p>
      <w:pPr>
        <w:pStyle w:val="ListParagraph"/>
        <w:numPr>
          <w:ilvl w:val="0"/>
          <w:numId w:val="2"/>
        </w:numPr>
        <w:spacing w:after="120"/>
      </w:pPr>
      <w:r>
        <w:t xml:space="preserve">Das Fristen- und Score-Radar: Wie Sie Schufa-Score, Flensburger Punkte und wichtige Kündigungsfristen automatisiert überwachen.</w:t>
      </w:r>
    </w:p>
    <w:p>
      <w:pPr>
        <w:pStyle w:val="ListParagraph"/>
        <w:numPr>
          <w:ilvl w:val="0"/>
          <w:numId w:val="2"/>
        </w:numPr>
        <w:spacing w:after="120"/>
      </w:pPr>
      <w:r>
        <w:t xml:space="preserve">Die kollaborative Nachbarschafts-Rendite: Wie Sie durch das Teilen von WLAN, Zeitschriften oder saisonalen Großeinkäufen bares Geld sparen.</w:t>
      </w:r>
    </w:p>
    <w:p>
      <w:pPr>
        <w:pStyle w:val="ListParagraph"/>
        <w:numPr>
          <w:ilvl w:val="0"/>
          <w:numId w:val="2"/>
        </w:numPr>
        <w:spacing w:after="120"/>
      </w:pPr>
      <w:r>
        <w:t xml:space="preserve">Die Spar-Matrix: Eine glasklare Sortierung aller Maßnahmen von Sofort-Wirkung bis hin zu klugen Investitionen wie Zaun- und Balkonkraftwerken.</w:t>
      </w:r>
    </w:p>
    <w:p>
      <w:pPr>
        <w:spacing w:after="260" w:line="340"/>
        <w:jc w:val="both"/>
      </w:pPr>
      <w:r>
        <w:t xml:space="preserve">Finanzielle Selbstbestimmung beginnt nicht mit Verzicht, sondern mit Übersicht. Lassen Sie uns gemeinsam Ihr System nachschärfen.</w:t>
      </w:r>
    </w:p>
    <w:p>
      <w:r>
        <w:br w:type="page"/>
      </w:r>
    </w:p>
    <w:p>
      <w:pPr>
        <w:pStyle w:val="Heading1"/>
        <w:spacing w:after="240" w:before="480"/>
      </w:pPr>
      <w:r>
        <w:t xml:space="preserve">Kapitel 1: Das 2-Monate-Experiment &amp; die Excel-Basis</w:t>
      </w:r>
    </w:p>
    <w:p>
      <w:pPr>
        <w:spacing w:after="260" w:line="340"/>
        <w:jc w:val="both"/>
      </w:pPr>
      <w:r>
        <w:t xml:space="preserve">Niemand hat Lust, sein Leben lang jeden Kassenbon zu akkumulieren. Ich bin selbst kein Freund von dauerhafter Erbsenzählerei. Aber 2 Monate lang ein Haushaltsbuch knallhart durchzuziehen, verändert den Blick auf das eigene Geld fundamental.</w:t>
      </w:r>
    </w:p>
    <w:p>
      <w:pPr>
        <w:spacing w:after="260" w:line="340"/>
        <w:jc w:val="both"/>
      </w:pPr>
      <w:r>
        <w:t xml:space="preserve">In der Excel-Vorlage liegt der Fokus nicht auf den täglichen Brötchenkosten, sondern auf den großen Hebeln: Dauer-Abo-Kosten und wiederkehrende E-Rechnungen. Strom-, Gas- und Internetverträge lassen sich heute so leicht wie nie zuvor wechseln. Das Einsparpotential ist gigantisch, vorausgesetzt, man trackt die Laufzeiten und schärft die Tarife regelmäßig nach.</w:t>
      </w:r>
    </w:p>
    <w:p>
      <w:pPr>
        <w:spacing w:after="260" w:line="340"/>
        <w:jc w:val="both"/>
      </w:pPr>
      <w:r>
        <w:t xml:space="preserve">Nach einer 60-tägigen Analyse der Fixkosten, Abos und variablen Ausgaben identifizieren Sie Ihre echten Sparpotenziale – mit drei Excel-Reitern („Cashflow-Radar“, „Abo-Grab“, „Variablen-Check“), die im Anhang dieses Buches Schritt für Schritt erklärt werden. Dieses System zielt darauf ab, die finanzielle Situation durch gezieltes Tracking statt aufwendiger Dauerbuchhaltung zu optimieren.</w:t>
      </w:r>
    </w:p>
    <w:p>
      <w:r>
        <w:br w:type="page"/>
      </w:r>
    </w:p>
    <w:p>
      <w:pPr>
        <w:pStyle w:val="Heading1"/>
        <w:spacing w:after="240" w:before="480"/>
      </w:pPr>
      <w:r>
        <w:t xml:space="preserve">Kapitel 2: Die ungesehenen Stromfresser – Die Jagd nach dem Phantom-Strom</w:t>
      </w:r>
    </w:p>
    <w:p>
      <w:pPr>
        <w:spacing w:after="260" w:line="340"/>
        <w:jc w:val="both"/>
      </w:pPr>
      <w:r>
        <w:t xml:space="preserve">Es gibt Ausgaben, die tun weh, weil wir sie bewusst tätigen. Und dann gibt es die Ausgaben, die wie ein unsichtbares Leck in einem Wassertank funktionieren: Sie merken nichts davon, bis der Tank plötzlich leer ist. Auf Ihrem Bankkonto verhält es sich oft genauso wie mit dem Stromverbrauch in den eigenen vier Wänden.</w:t>
      </w:r>
    </w:p>
    <w:p>
      <w:pPr>
        <w:pStyle w:val="Heading2"/>
        <w:spacing w:after="160" w:before="320"/>
      </w:pPr>
      <w:r>
        <w:t xml:space="preserve">Die 125-Euro-Lampe: Eine persönliche Lektion</w:t>
      </w:r>
    </w:p>
    <w:p>
      <w:pPr>
        <w:spacing w:after="260" w:line="340"/>
        <w:jc w:val="both"/>
      </w:pPr>
      <w:r>
        <w:t xml:space="preserve">Lange Zeit wunderte ich mich über eine unerklärlich hohe Stromrechnung. Ich schaltete brav das Licht aus, wenn ich den Raum verließ, nutzte energiesparende Geräte und achtete auf meinen Verbrauch. Dennoch blieben die Zahlen der Stadtwerke hartnäckig zu hoch.</w:t>
      </w:r>
    </w:p>
    <w:p>
      <w:pPr>
        <w:spacing w:after="260" w:line="340"/>
        <w:jc w:val="both"/>
      </w:pPr>
      <w:r>
        <w:t xml:space="preserve">Die Erleuchtung kam, als ich mir vom Energieversorger ein mobiles Strommessgerät auslieh, um den Leerlaufstrom meiner Haushaltsgeräte systematisch zu überprüfen. Ich steckte das Gerät zwischen Steckdose und einen alten Deckenfluter, der ungenutzt in der Ecke stand und ausgeschaltet war. Das Ergebnis war ein Schock: Das Gerät verzeichnete einen dauerhaften, permanenten Verbrauch von knapp 41 Watt. Der Glühfaden glühte im Dunkeln nur ganz minimal, fast unsichtbar. Die Lampe war technisch gesehen „aus“, verheizte aber im reinen Standby-Modus rund um die Uhr bares Geld.</w:t>
      </w:r>
    </w:p>
    <w:p>
      <w:pPr>
        <w:spacing w:after="260" w:line="340"/>
        <w:jc w:val="both"/>
      </w:pPr>
      <w:r>
        <w:t xml:space="preserve">Rechnen wir das mathematisch auf das Jahr hoch:</w:t>
      </w:r>
    </w:p>
    <w:p>
      <w:pPr>
        <w:pStyle w:val="ListParagraph"/>
        <w:numPr>
          <w:ilvl w:val="0"/>
          <w:numId w:val="2"/>
        </w:numPr>
        <w:spacing w:after="120"/>
      </w:pPr>
      <w:r>
        <w:t xml:space="preserve">Verbrauch pro Tag: 41 Watt × 24 Stunden = 984 Wattstunden (ca. 1 kWh)</w:t>
      </w:r>
    </w:p>
    <w:p>
      <w:pPr>
        <w:pStyle w:val="ListParagraph"/>
        <w:numPr>
          <w:ilvl w:val="0"/>
          <w:numId w:val="2"/>
        </w:numPr>
        <w:spacing w:after="120"/>
      </w:pPr>
      <w:r>
        <w:t xml:space="preserve">Verbrauch pro Jahr: 0,984 kWh × 365 Tage = 359,16 kWh</w:t>
      </w:r>
    </w:p>
    <w:p>
      <w:pPr>
        <w:pStyle w:val="ListParagraph"/>
        <w:numPr>
          <w:ilvl w:val="0"/>
          <w:numId w:val="2"/>
        </w:numPr>
        <w:spacing w:after="120"/>
      </w:pPr>
      <w:r>
        <w:t xml:space="preserve">Die Kosten: Bei einem durchschnittlichen Strompreis von 35 Cent pro Kilowattstunde kostet dieser eine, scheinbar ausgeschaltete Deckenfluter satte 125,71 Euro pro Jahr – für absolut nichts.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E3A5F" w:sz="12"/>
              <w:left w:val="single" w:color="1E3A5F" w:sz="24"/>
              <w:bottom w:val="single" w:color="1E3A5F" w:sz="12"/>
              <w:right w:val="single" w:color="1E3A5F" w:sz="12"/>
            </w:tcBorders>
            <w:shd w:fill="EAF1FB" w:val="clear"/>
            <w:tcMar>
              <w:top w:type="dxa" w:w="200"/>
              <w:left w:type="dxa" w:w="200"/>
              <w:bottom w:type="dxa" w:w="200"/>
              <w:right w:type="dxa" w:w="200"/>
            </w:tcMar>
          </w:tcPr>
          <w:p>
            <w:pPr>
              <w:spacing w:after="0"/>
            </w:pPr>
            <w:r>
              <w:rPr>
                <w:b/>
                <w:bCs/>
              </w:rPr>
              <w:t xml:space="preserve">Die Rechnung auf einen Blick: 41 W × 24 h × 365 Tage = 359,16 kWh/Jahr × 0,35 € = 125,71 € – für eine Lampe, die nie bewusst „an“ war.</w:t>
            </w:r>
          </w:p>
        </w:tc>
      </w:tr>
    </w:tbl>
    <w:p>
      <w:pPr>
        <w:pStyle w:val="Heading2"/>
        <w:spacing w:after="160" w:before="320"/>
      </w:pPr>
      <w:r>
        <w:t xml:space="preserve">Das Kraftwerk im Kinderzimmer &amp; der Stadion-Riese im Wohnzimmer</w:t>
      </w:r>
    </w:p>
    <w:p>
      <w:pPr>
        <w:spacing w:after="260" w:line="340"/>
        <w:jc w:val="both"/>
      </w:pPr>
      <w:r>
        <w:t xml:space="preserve">Der Deckenfluter ist das eine Extrem – der Standby-Schläfer. Doch es gibt auch die echten, aktiven Energiefresser, die wir komplett unterschätzen. Schauen wir uns dafür mal ein modernes Jugendzimmer an, genauer gesagt: den Gaming-Rechner des Sohnes.</w:t>
      </w:r>
    </w:p>
    <w:p>
      <w:pPr>
        <w:spacing w:after="260" w:line="340"/>
        <w:jc w:val="both"/>
      </w:pPr>
      <w:r>
        <w:t xml:space="preserve">Wer heute aktuelle Blockbuster-Spiele flüssig spielen will, braucht brachiale Hardware. Da glüht nicht nur der Spielspaß, sondern auch der Stromzähler:</w:t>
      </w:r>
    </w:p>
    <w:p>
      <w:pPr>
        <w:pStyle w:val="ListParagraph"/>
        <w:numPr>
          <w:ilvl w:val="0"/>
          <w:numId w:val="2"/>
        </w:numPr>
        <w:spacing w:after="120"/>
      </w:pPr>
      <w:r>
        <w:t xml:space="preserve">Die Grafikkarte: Ein aktuelles Top-Modell zieht unter Last locker 280 Watt allein für die Grafikberechnung.</w:t>
      </w:r>
    </w:p>
    <w:p>
      <w:pPr>
        <w:pStyle w:val="ListParagraph"/>
        <w:numPr>
          <w:ilvl w:val="0"/>
          <w:numId w:val="2"/>
        </w:numPr>
        <w:spacing w:after="120"/>
      </w:pPr>
      <w:r>
        <w:t xml:space="preserve">Prozessor und Hauptplatine: CPU und Mainboard schlagen mit knackigen 80 Watt zu Buche.</w:t>
      </w:r>
    </w:p>
    <w:p>
      <w:pPr>
        <w:pStyle w:val="ListParagraph"/>
        <w:numPr>
          <w:ilvl w:val="0"/>
          <w:numId w:val="2"/>
        </w:numPr>
        <w:spacing w:after="120"/>
      </w:pPr>
      <w:r>
        <w:t xml:space="preserve">Das Netzteil: Selbst ein gutes Netzteil hat keinen perfekten Wirkungsgrad. Die Wandlung des Stroms verballert als reine Abwärme noch mal gute 10 Watt.</w:t>
      </w:r>
    </w:p>
    <w:p>
      <w:pPr>
        <w:spacing w:after="260" w:line="340"/>
        <w:jc w:val="both"/>
      </w:pPr>
      <w:r>
        <w:t xml:space="preserve">Damit sind wir rein beim PC-Gehäuse schon bei 370 Watt – und da sind die beiden Monitore noch nicht mal drin!</w:t>
      </w:r>
    </w:p>
    <w:p>
      <w:pPr>
        <w:spacing w:after="260" w:line="340"/>
        <w:jc w:val="both"/>
      </w:pPr>
      <w:r>
        <w:t xml:space="preserve">Und die Großverbraucher machen vor dem Wohnzimmer nicht halt: Wenn der große LCD-Bildschirm mit 1,50 Meter Diagonale für die Samstags-Bundesliga angeworfen wird, stehen mal eben 310 Watt auf der Uhr. Wenn abends mehrere Stunden gezockt und ferngesehen wird, kommen hier schnell hunderte Kilowattstunden im Jahr zusammen – ganz ohne, dass es sich für irgendjemanden im Haushalt wie eine bewusste Entscheidung anfühlt.</w:t>
      </w:r>
    </w:p>
    <w:p>
      <w:pPr>
        <w:pStyle w:val="Heading2"/>
        <w:spacing w:after="160" w:before="320"/>
      </w:pPr>
      <w:r>
        <w:t xml:space="preserve">Fokussieren auf das Wesentliche: Was im Haushalt sinnvoll ist</w:t>
      </w:r>
    </w:p>
    <w:p>
      <w:pPr>
        <w:spacing w:after="260" w:line="340"/>
        <w:jc w:val="both"/>
      </w:pPr>
      <w:r>
        <w:t xml:space="preserve">Verstehen Sie mich nicht falsch: Niemand muss im Dunkeln sitzen oder auf Hobbys verzichten. Aber bestimmte Haushaltsgeräte verdienen besondere Aufmerksamkeit:</w:t>
      </w:r>
    </w:p>
    <w:p>
      <w:pPr>
        <w:pStyle w:val="ListParagraph"/>
        <w:numPr>
          <w:ilvl w:val="0"/>
          <w:numId w:val="2"/>
        </w:numPr>
        <w:spacing w:after="120"/>
      </w:pPr>
      <w:r>
        <w:t xml:space="preserve">Geschirrspüler &amp; Waschmaschine: Achten Sie konsequent auf die Eco-Programme. Sie dauern zwar länger, verbrauchen aber durch die niedrigere Wassertemperatur deutlich weniger Energie.</w:t>
      </w:r>
    </w:p>
    <w:p>
      <w:pPr>
        <w:pStyle w:val="ListParagraph"/>
        <w:numPr>
          <w:ilvl w:val="0"/>
          <w:numId w:val="2"/>
        </w:numPr>
        <w:spacing w:after="120"/>
      </w:pPr>
      <w:r>
        <w:t xml:space="preserve">Der Wäschetrockner: Wenn Sie den Platz haben, hängen Sie die Wäsche auf die Leine – das kostet genau 0 Euro. Wenn das nicht geht, ist ein moderner Wärmepumpentrockner sinnvoll. Er recycelt die Wärme im Inneren und verbraucht bis zu 50 % weniger Strom als alte Kondenstrockner.</w:t>
      </w:r>
    </w:p>
    <w:p>
      <w:pPr>
        <w:pStyle w:val="Heading2"/>
        <w:spacing w:after="160" w:before="320"/>
      </w:pPr>
      <w:r>
        <w:t xml:space="preserve">Der Effizienz-Geheimtipp: Die Heißluftfritteuse</w:t>
      </w:r>
    </w:p>
    <w:p>
      <w:pPr>
        <w:spacing w:after="260" w:line="340"/>
        <w:jc w:val="both"/>
      </w:pPr>
      <w:r>
        <w:t xml:space="preserve">Ein echtes Aha-Erlebnis bietet die Küche. Ein normaler Backofen hat oft einen riesigen Garraum von 70 Litern, der quälend langsam aufheizt und Unmengen Strom frisst, nur um zwei Aufbackbrötchen oder eine Portion Pommes zu machen. Eine Heißluftfritteuse mit einem großzügigen 5-Liter-Garraum arbeitet extrem schnell, ist sofort heiß und durch das kompakte Volumen unschlagbar effizient.</w:t>
      </w:r>
    </w:p>
    <w:p>
      <w:pPr>
        <w:pStyle w:val="Heading2"/>
        <w:spacing w:after="160" w:before="320"/>
      </w:pPr>
      <w:r>
        <w:t xml:space="preserve">Ihr Action-Plan: So jagen Sie die unsichtbaren Fresser</w:t>
      </w:r>
    </w:p>
    <w:p>
      <w:pPr>
        <w:spacing w:after="260" w:line="340"/>
        <w:jc w:val="both"/>
      </w:pPr>
      <w:r>
        <w:t xml:space="preserve">Um diese Cash-Leaks in Ihrem Haushalt sofort zu schließen, gehen Sie in den nächsten zwei Wochen folgende drei Schritte durch:</w:t>
      </w:r>
    </w:p>
    <w:p>
      <w:pPr>
        <w:pStyle w:val="ListParagraph"/>
        <w:numPr>
          <w:ilvl w:val="0"/>
          <w:numId w:val="2"/>
        </w:numPr>
        <w:spacing w:after="120"/>
      </w:pPr>
      <w:r>
        <w:t xml:space="preserve">Die LED-Revolution: Tauschen Sie systematisch jede alte Halogen- oder Glühbirne im Haus gegen moderne LEDs aus. Während eine alte Birne 60 Watt benötigt, liefert eine LED die gleiche Helligkeit mit gerade einmal 6 bis 8 Watt. Der Austausch amortisiert sich oft schon nach wenigen Monaten.</w:t>
      </w:r>
    </w:p>
    <w:p>
      <w:pPr>
        <w:pStyle w:val="ListParagraph"/>
        <w:numPr>
          <w:ilvl w:val="0"/>
          <w:numId w:val="2"/>
        </w:numPr>
        <w:spacing w:after="120"/>
      </w:pPr>
      <w:r>
        <w:t xml:space="preserve">Die Steckerleisten-Strategie: Geräte wie Fernseher, Spielekonsolen, Soundbars oder der Gaming-PC inklusive Monitoren verbrauchen auch ausgeschaltet permanent Strom. Schließen Sie diese an schaltbare Steckdosenleisten an und knipsen Sie das gesamte System ab, wenn Sie schlafen gehen oder das Haus verlassen.</w:t>
      </w:r>
    </w:p>
    <w:p>
      <w:pPr>
        <w:pStyle w:val="ListParagraph"/>
        <w:numPr>
          <w:ilvl w:val="0"/>
          <w:numId w:val="2"/>
        </w:numPr>
        <w:spacing w:after="120"/>
      </w:pPr>
      <w:r>
        <w:t xml:space="preserve">Die Messtour: Leihen Sie sich bei Ihrer lokalen Verbraucherzentrale oder den Stadtwerken kostenlos ein Strommessgerät aus. Gehen Sie von Raum zu Raum und messen Sie den Leerlaufstrom Ihrer Großgeräte. Manchmal liegt die finanzielle Freiheit nur einen Klick am Kippschalter entfernt.</w:t>
      </w:r>
    </w:p>
    <w:p>
      <w:r>
        <w:br w:type="page"/>
      </w:r>
    </w:p>
    <w:p>
      <w:pPr>
        <w:pStyle w:val="Heading1"/>
        <w:spacing w:after="240" w:before="480"/>
      </w:pPr>
      <w:r>
        <w:t xml:space="preserve">Kapitel 3: Das Kündigungs- &amp; Fristenradar – Ihr finanzielles Frühwarnsystem</w:t>
      </w:r>
    </w:p>
    <w:p>
      <w:pPr>
        <w:spacing w:after="260" w:line="340"/>
        <w:jc w:val="both"/>
      </w:pPr>
      <w:r>
        <w:t xml:space="preserve">Ein Haushaltsbuch darf keine reine Rückschau sein. Es bringt Ihnen nichts, am Monatsende festzustellen, dass das Konto leer ist, weil unerwartete Abbuchungen eingeschlagen haben. Ein smartes Excel-System blickt in die Zukunft. Es fungiert als Ihr persönliches Radar, das Sie warnt, bevor das Geld unbemerkt abfließt.</w:t>
      </w:r>
    </w:p>
    <w:p>
      <w:pPr>
        <w:pStyle w:val="Heading2"/>
        <w:spacing w:after="160" w:before="320"/>
      </w:pPr>
      <w:r>
        <w:t xml:space="preserve">Der Kündigungs-Wecker: Das Abo-Grab schließen</w:t>
      </w:r>
    </w:p>
    <w:p>
      <w:pPr>
        <w:spacing w:after="260" w:line="340"/>
        <w:jc w:val="both"/>
      </w:pPr>
      <w:r>
        <w:t xml:space="preserve">Die moderne Wirtschaft liebt das Abo-Modell. Egal ob Fitnessstudio, Streaming-Dienste, Zeitschriften oder Software: Unternehmen verdienen ihr meistes Geld mit der Vergesslichkeit der Kunden. Ein Vertrag verlängert sich automatisch um ein weiteres Jahr, weil man die Kündigungsfrist um zwei Tage verpasst hat – ein klassisches, teures Eigentor.</w:t>
      </w:r>
    </w:p>
    <w:p>
      <w:pPr>
        <w:spacing w:after="260" w:line="340"/>
        <w:jc w:val="both"/>
      </w:pPr>
      <w:r>
        <w:t xml:space="preserve">In Ihrem Excel-Reiter „Abo-Grab“ richten Sie deshalb eine automatisierte Fristen-Warnung ein: Tragen Sie zu jedem Vertrag das Mindestlaufzeit-Ende und die Kündigungsfrist ein. Nutzen Sie eine einfache bedingte Formatierung: Sobald das Kündigungsdatum weniger als 30 Tage entfernt ist, färbt sich die Zeile knallrot. Die genauen Formeln dafür finden Sie im Anhang.</w:t>
      </w:r>
    </w:p>
    <w:p>
      <w:pPr>
        <w:spacing w:after="260" w:line="340"/>
        <w:jc w:val="both"/>
      </w:pPr>
      <w:r>
        <w:t xml:space="preserve">Ein typisches Beispiel ist der Gym-Wechsel. Wenn das teure Premium-Studio Sie monatlich 70 Euro kostet, Sie aber eigentlich nur unkompliziert trainieren wollen, lohnt sich der Blick nach Alternativen. Gibt es ein günstiges Discounter-Studio in der Nähe? Oder noch besser: Können Sie mit zwei Nachbarn eine ungenutzte Garage pachten und ein eigenes kleines „Garage-Studio“ aufbauen? Die Geräte amortisieren sich im Team rasend schnell und die monatlichen Fixkosten sinken auf nahezu Null.</w:t>
      </w:r>
    </w:p>
    <w:p>
      <w:pPr>
        <w:pStyle w:val="Heading2"/>
        <w:spacing w:after="160" w:before="320"/>
      </w:pPr>
      <w:r>
        <w:t xml:space="preserve">Die Fixkosten-Termine: Keine Überraschungen mehr</w:t>
      </w:r>
    </w:p>
    <w:p>
      <w:pPr>
        <w:spacing w:after="260" w:line="340"/>
        <w:jc w:val="both"/>
      </w:pPr>
      <w:r>
        <w:t xml:space="preserve">Wann wird eigentlich die Kfz-Steuer abgebucht? Wann ist der Jahresbeitrag für die Haftpflichtversicherung fällig? Solche Posten werden gerne vergessen, weil sie nur einmal im Jahr vorkommen. Wenn dann im November plötzlich 300 Euro für die Auto-Versicherung und die Kfz-Steuer automatisch eingezogen werden, rutscht das Girokonto ungewollt in den teuren Dispo.</w:t>
      </w:r>
    </w:p>
    <w:p>
      <w:pPr>
        <w:spacing w:after="260" w:line="340"/>
        <w:jc w:val="both"/>
      </w:pPr>
      <w:r>
        <w:t xml:space="preserve">Ihr Excel-Tracker listet diese Termine chronologisch auf. So wissen Sie im Januar schon exakt, in welchem Monat des Jahres eine größere Abbuchung ansteht, und können monatlich einen kleinen Teil dafür auf Ihrem Tagesgeldkonto ansparen.</w:t>
      </w:r>
    </w:p>
    <w:p>
      <w:pPr>
        <w:pStyle w:val="Heading2"/>
        <w:spacing w:after="160" w:before="320"/>
      </w:pPr>
      <w:r>
        <w:t xml:space="preserve">Das Bürokratie-Tracking: Schufa-Score und Flensburger Punkte</w:t>
      </w:r>
    </w:p>
    <w:p>
      <w:pPr>
        <w:spacing w:after="260" w:line="340"/>
        <w:jc w:val="both"/>
      </w:pPr>
      <w:r>
        <w:t xml:space="preserve">Finanzielle Gesundheit hat viel mit Ihrer bürokratischen Weste zu tun. Schlechte Scores oder rechtliche Probleme kosten hintenrum bares Geld – sei es durch schlechtere Kreditkonditionen oder teure Anwaltsgebühren. Deshalb gehören zwei ungewöhnliche, aber essenzielle Kennzahlen in Ihr digitales Kontrollzentrum:</w:t>
      </w:r>
    </w:p>
    <w:p>
      <w:pPr>
        <w:pStyle w:val="ListParagraph"/>
        <w:numPr>
          <w:ilvl w:val="0"/>
          <w:numId w:val="2"/>
        </w:numPr>
        <w:spacing w:after="120"/>
      </w:pPr>
      <w:r>
        <w:t xml:space="preserve">Der Schufa-Score: Ein schlechter Schufa-Wert sorgt dafür, dass Sie bei einem Umzug keine Wohnung bekommen, Ihnen der neue, günstigere Stromvertrag verwehrt wird oder Sie für Ihren Handyvertrag draufzahlen müssen. Einmal im Jahr haben Sie das gesetzliche Recht auf eine komplett kostenlose Datenkopie nach Art. 15 DSGVO (lassen Sie sich auf der Schufa-Webseite nicht die kostenpflichtige „Bonitätsauskunft“ aufschwatzen!). Tragen Sie Ihren aktuellen Score-Wert in Excel ein. Tauchen dort falsche oder veraltete Einträge auf, lassen Sie diese sofort löschen.</w:t>
      </w:r>
    </w:p>
    <w:p>
      <w:pPr>
        <w:pStyle w:val="ListParagraph"/>
        <w:numPr>
          <w:ilvl w:val="0"/>
          <w:numId w:val="2"/>
        </w:numPr>
        <w:spacing w:after="120"/>
      </w:pPr>
      <w:r>
        <w:t xml:space="preserve">Die Flensburger Punkte: Wer seinen Führerschein wegen zu vieler Punkte verliert, riskiert im schlimmsten Fall seinen Job, muss teure MPU-Kurse bezahlen oder auf teure öffentliche Verkehrsmittel ausweichen. Ein Blick in das Punktekonto (mittlerweile online mit dem Personalausweis beim Kraftfahrt-Bundesamt möglich) erinnert Sie rechtzeitig daran, den Fuß vom Gas zu nehmen, bevor das Punktekonto überläuft.</w:t>
      </w:r>
    </w:p>
    <w:p>
      <w:r>
        <w:br w:type="page"/>
      </w:r>
    </w:p>
    <w:p>
      <w:pPr>
        <w:pStyle w:val="Heading1"/>
        <w:spacing w:after="240" w:before="480"/>
      </w:pPr>
      <w:r>
        <w:t xml:space="preserve">Kapitel 4: Die kollaborative Nachbarschafts-Rendite – Sparen im Kollektiv</w:t>
      </w:r>
    </w:p>
    <w:p>
      <w:pPr>
        <w:spacing w:after="260" w:line="340"/>
        <w:jc w:val="both"/>
      </w:pPr>
      <w:r>
        <w:t xml:space="preserve">Die stärkste Waffe gegen Inflation und explodierende Fixkosten liegt meistens nicht auf dem Festgeldkonto, sondern direkt auf der anderen Seite Ihrer Flurwand: in der Hausgemeinschaft. Wenn Sie das klassische Silo-Denken aufbrechen und strategisch mit Ihren Nachbarn kooperieren, heben Sie eine Rendite, die Ihnen keine Aktie der Welt steuerfrei einbringen kann.</w:t>
      </w:r>
    </w:p>
    <w:p>
      <w:pPr>
        <w:pStyle w:val="Heading2"/>
        <w:spacing w:after="160" w:before="320"/>
      </w:pPr>
      <w:r>
        <w:t xml:space="preserve">Das Gigabit-WLAN: Dritteln Sie Ihre Internetkosten</w:t>
      </w:r>
    </w:p>
    <w:p>
      <w:pPr>
        <w:spacing w:after="260" w:line="340"/>
        <w:jc w:val="both"/>
      </w:pPr>
      <w:r>
        <w:t xml:space="preserve">Warum zahlt eigentlich jede Partei in einem Dreifamilienhaus 40 bis 50 Euro im Monat für einen eigenen Internetanschluss? Moderne Glasfaser- oder Kabelanschlüsse bieten Bandbreiten von 500 oder 1.000 Mbit/s – diese Datenautobahn wird von einem Single-Haushalt beim normalen Streamen und Surfen nicht ansatzweise ausgelastet.</w:t>
      </w:r>
    </w:p>
    <w:p>
      <w:pPr>
        <w:spacing w:after="260" w:line="340"/>
        <w:jc w:val="both"/>
      </w:pPr>
      <w:r>
        <w:t xml:space="preserve">Die Lösung: Ein einziger, schneller Top-Tarif wird für die gesamte Hausgemeinschaft gebucht. Mit moderner Mesh-WLAN-Technologie wird das Signal verlustfrei im ganzen Haus verteilt.</w:t>
      </w:r>
    </w:p>
    <w:p>
      <w:pPr>
        <w:spacing w:after="260" w:line="340"/>
        <w:jc w:val="both"/>
      </w:pPr>
      <w:r>
        <w:t xml:space="preserve">Die Rechnung: Statt 3 × 45 Euro (= 135 Euro) zahlt das Haus nur noch einmal 60 Euro für einen Premium-Tarif. Die Kosten werden fair durch drei geteilt – jeder zahlt nur noch 20 Euro im Monat. Das spart pro Haushalt knackige 300 Euro im Jahr, für exakt die gleiche Internetgeschwindigkeit.</w:t>
      </w:r>
    </w:p>
    <w:p>
      <w:pPr>
        <w:spacing w:after="260" w:line="340"/>
        <w:jc w:val="both"/>
      </w:pPr>
      <w:r>
        <w:t xml:space="preserve">Praxistipp: Richten Sie im Router ein separates Gastnetzwerk für die Nachbarn ein, damit die eigene Privatsphäre geschützt bleibt.</w:t>
      </w:r>
    </w:p>
    <w:p>
      <w:pPr>
        <w:pStyle w:val="Heading2"/>
        <w:spacing w:after="160" w:before="320"/>
      </w:pPr>
      <w:r>
        <w:t xml:space="preserve">Der Zeitschriften-Lesezirkel: Wissen zum Schnäppchenpreis</w:t>
      </w:r>
    </w:p>
    <w:p>
      <w:pPr>
        <w:spacing w:after="260" w:line="340"/>
        <w:jc w:val="both"/>
      </w:pPr>
      <w:r>
        <w:t xml:space="preserve">Ein gutes Print-Abonnement kostet schnell 100 bis 200 Euro im Jahr. Oft überfliegt man das Heft am Wochenende für zwei Stunden, danach verstaubt es im Altpapier. Gründen Sie stattdessen einen analogen Lesezirkel im Treppenhaus: Partei A abonniert das Politik-Magazin, Partei B die Finanz-Zeitschrift, Partei C das Garten-Magazin. Nach dem Lesen werden die Hefte einfach in den Briefkasten des nächsten Nachbarn geworfen. Jeder hat Zugriff auf drei hochwertige Magazine, bezahlt aber nur ein einziges.</w:t>
      </w:r>
    </w:p>
    <w:p>
      <w:pPr>
        <w:pStyle w:val="Heading2"/>
        <w:spacing w:after="160" w:before="320"/>
      </w:pPr>
      <w:r>
        <w:t xml:space="preserve">Saisonaler Großeinkauf: Gemüse direkt vom Bauern</w:t>
      </w:r>
    </w:p>
    <w:p>
      <w:pPr>
        <w:spacing w:after="260" w:line="340"/>
        <w:jc w:val="both"/>
      </w:pPr>
      <w:r>
        <w:t xml:space="preserve">Saisonal einkaufen ist nicht nur drastisch billiger, sondern schont auch die Umwelt. Der wahre Spar-Hebel liegt im Großgebinde: Wenn Sie sich mit drei Parteien zusammenschließen und eine komplette Kiste saisonales Gemüse direkt vom Erzeuger abnehmen, sinkt der Kilo-Preis massiv. Die Logistik und die Fahrtkosten teilen Sie sich auf. Das Ergebnis: Knackfrische, gesunde Lebensmittel ohne Zwischenhändler zum Bruchteil des Supermarktpreises.</w:t>
      </w:r>
    </w:p>
    <w:p>
      <w:r>
        <w:br w:type="page"/>
      </w:r>
    </w:p>
    <w:p>
      <w:pPr>
        <w:pStyle w:val="Heading1"/>
        <w:spacing w:after="240" w:before="480"/>
      </w:pPr>
      <w:r>
        <w:t xml:space="preserve">Kapitel 5: Die Spar-Matrix – Vom Balkonkraftwerk zur Zaun-Rendite</w:t>
      </w:r>
    </w:p>
    <w:p>
      <w:pPr>
        <w:spacing w:after="260" w:line="340"/>
        <w:jc w:val="both"/>
      </w:pPr>
      <w:r>
        <w:t xml:space="preserve">Sie haben nun Ihre Verträge optimiert, die versteckten Stromfresser eliminiert und Synergien mit Ihren Nachbarn geschaffen. Im finalen Kapitel bringen wir Struktur in Ihre zukünftigen Investitionen – sortiert von der schnellsten Sofort-Wirkung bis zum langfristigen Projekt.</w:t>
      </w:r>
    </w:p>
    <w:p>
      <w:pPr>
        <w:pStyle w:val="Heading2"/>
        <w:spacing w:after="160" w:before="320"/>
      </w:pPr>
      <w:r>
        <w:t xml:space="preserve">Das Balkonkraftwerk: Die unkomplizierte Ersparnis</w:t>
      </w:r>
    </w:p>
    <w:p>
      <w:pPr>
        <w:spacing w:after="260" w:line="340"/>
        <w:jc w:val="both"/>
      </w:pPr>
      <w:r>
        <w:t xml:space="preserve">Ein klassisches Balkonkraftwerk mit zwei Modulen und einem Wechselrichter kostet im Set oft rund 420 Euro, teils auch mehr je nach Ausstattung – aktuelle Markt-Sets 2026 bewegen sich grob zwischen 280 und 600 Euro. Die Installation ist dank vereinfachter Gesetze und Steckfertigkeit in weniger als einer Stunde erledigt.</w:t>
      </w:r>
    </w:p>
    <w:p>
      <w:pPr>
        <w:spacing w:after="260" w:line="340"/>
        <w:jc w:val="both"/>
      </w:pPr>
      <w:r>
        <w:t xml:space="preserve">Eine solche Anlage produziert im Jahr je nach Ausrichtung etwa 600 bis 800 kWh Strom. Wenn Sie diesen Strom direkt für Ihre Grundlast verbrauchen, senken Sie Ihre grundlegenden Stromkosten spürbar – die tatsächliche Ersparnis hängt stark vom Eigenverbrauchsanteil ab und liegt meist zwischen 90 und 380 Euro im Jahr. Rüstet man das System mit einem smarten Akkuspeicher nach, lässt sich die Eigenverbrauchsquote noch weiter steigern, da tagsüber produzierter Strom auch in den teuren Abendstunden genutzt werden kann.</w:t>
      </w:r>
    </w:p>
    <w:p>
      <w:pPr>
        <w:pStyle w:val="Heading2"/>
        <w:spacing w:after="160" w:before="320"/>
      </w:pPr>
      <w:r>
        <w:t xml:space="preserve">Der Geheimtipp in der Senkrechten: Solar-Sichtschutzstreifen</w:t>
      </w:r>
    </w:p>
    <w:p>
      <w:pPr>
        <w:spacing w:after="260" w:line="340"/>
        <w:jc w:val="both"/>
      </w:pPr>
      <w:r>
        <w:t xml:space="preserve">Was aber, wenn der Balkon zu klein ist, im Schatten liegt oder der Vermieter keine Module an der Fassade erlaubt? Hier kommt eine geniale Innovation ins Spiel: Solar-Sichtschutzstreifen für den Garten- oder Grundstückszaun.</w:t>
      </w:r>
    </w:p>
    <w:p>
      <w:pPr>
        <w:spacing w:after="260" w:line="340"/>
        <w:jc w:val="both"/>
      </w:pPr>
      <w:r>
        <w:t xml:space="preserve">Diese flexiblen, schmalen Solarmodule werden genau wie die klassischen Plastik-Sichtschutzbahnen einfach horizontal in die Gitterelemente eines ganz normalen Metall-Doppelstabmattenzauns eingeschoben und im Hintergrund verkabelt. Aus einem simplen, ohnehin notwendigen Sichtschutz wird so eine effiziente Geldmaschine.</w:t>
      </w:r>
    </w:p>
    <w:p>
      <w:pPr>
        <w:spacing w:after="260" w:line="340"/>
        <w:jc w:val="both"/>
      </w:pPr>
      <w:r>
        <w:t xml:space="preserve">Der unschlagbare Vorteil der senkrechten Montage: Normale Dachanlagen haben ihre Leistungsspitze mittags, wenn die Sonne am höchsten steht – zu dieser Zeit sind aber die meisten Menschen auf der Arbeit. Die senkrechten Zaun-Module hingegen fangen die Sonnenstrahlen dann perfekt ein, wenn die Sonne tief steht: morgens und abends. Genau das sind die Stoßzeiten in jedem Haushalt, wenn gekocht, gewaschen oder ferngesehen wird. Der erzeugte Strom wird also sofort direkt verbraucht, ohne dass ein teurer Akku nötig ist. Zudem bleibt an senkrechten Zäunen im Winter kein Schnee liegen, wodurch auch die schwache Wintersonne optimal genutzt wird, während Dachanlagen dann oft wochenlang kaum Ertrag liefern.</w:t>
      </w:r>
    </w:p>
    <w:p>
      <w:pPr>
        <w:pStyle w:val="Heading2"/>
        <w:spacing w:after="160" w:before="320"/>
      </w:pPr>
      <w:r>
        <w:t xml:space="preserve">Die Camper-Anekdote: Clever verhandeln und Anschaffungskosten halbieren</w:t>
      </w:r>
    </w:p>
    <w:p>
      <w:pPr>
        <w:spacing w:after="260" w:line="340"/>
        <w:jc w:val="both"/>
      </w:pPr>
      <w:r>
        <w:t xml:space="preserve">Dass Theorie und Praxis zwei verschiedene Dinge sind, zeigt mein eigenes Balkonkraftwerk. Ich hatte mir ein Set mit modernen, flexiblen Solarmodulen aus Kunststoff bestellt. Beim Ausmessen am Balkon stellte sich jedoch heraus: Aufgrund der speziellen Balkonform konnte ich nur sechs der acht gelieferten Module sinnvoll anbringen. Zwei Module waren also übrig.</w:t>
      </w:r>
    </w:p>
    <w:p>
      <w:pPr>
        <w:spacing w:after="260" w:line="340"/>
        <w:jc w:val="both"/>
      </w:pPr>
      <w:r>
        <w:t xml:space="preserve">Anstatt sie im Keller verstauben zu lassen, ergab sich beim Gespräch über den Gartenzaun die perfekte Gelegenheit: Mein Nachbar, ein begeisterter Camper, war sofort Feuer und Flamme für die ultraleichten, flexiblen Module, um sie auf seinem Wohnmobil zu verbauen. Das Ergebnis? Ich habe ihm die zwei überschüssigen Module verkauft – und effektiv nur noch die Hälfte des ursprünglichen Gesamtpreises für mein eigenes Kraftwerk bezahlt.</w:t>
      </w:r>
    </w:p>
    <w:p>
      <w:pPr>
        <w:spacing w:after="260" w:line="340"/>
        <w:jc w:val="both"/>
      </w:pPr>
      <w:r>
        <w:t xml:space="preserve">Das ist die ultimative Win-Win-Situation: Der Nachbar hat perfekte Solarmodule für seinen Camping-Trip bekommen, und ich habe meine eigene Amortisationszeit durch cleveres Handeln halbiert. Halten Sie also immer die Augen offen – manchmal entstehen die besten Renditen durch ein einfaches Gespräch mit dem Nachbarn.</w:t>
      </w:r>
    </w:p>
    <w:p>
      <w:pPr>
        <w:pStyle w:val="Heading2"/>
        <w:spacing w:after="160" w:before="320"/>
      </w:pPr>
      <w:r>
        <w:t xml:space="preserve">Die finale Spar-Matrix: Ihre Prioritätenliste</w:t>
      </w:r>
    </w:p>
    <w:p>
      <w:pPr>
        <w:spacing w:after="260" w:line="340"/>
        <w:jc w:val="both"/>
      </w:pPr>
      <w:r>
        <w:t xml:space="preserve">Um nicht den Überblick zu verlieren, nutzen Sie diese Matrix als Fahrplan. Fangen Sie ganz oben an und arbeiten Sie sich Schritt für Schritt nach unten durch:</w:t>
      </w:r>
    </w:p>
    <w:p>
      <w:pP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2100"/>
        <w:gridCol w:w="1600"/>
        <w:gridCol w:w="1226"/>
      </w:tblGrid>
      <w:tr>
        <w:trPr>
          <w:tblHeader/>
        </w:trPr>
        <w:tc>
          <w:tcPr>
            <w:tcW w:type="dxa" w:w="2500"/>
            <w:shd w:fill="1E3A5F" w:val="clear"/>
            <w:tcMar>
              <w:top w:type="dxa" w:w="100"/>
              <w:left w:type="dxa" w:w="100"/>
              <w:bottom w:type="dxa" w:w="100"/>
              <w:right w:type="dxa" w:w="100"/>
            </w:tcMar>
          </w:tcPr>
          <w:p>
            <w:r>
              <w:rPr>
                <w:b/>
                <w:bCs/>
                <w:color w:val="FFFFFF"/>
                <w:sz w:val="17"/>
                <w:szCs w:val="17"/>
              </w:rPr>
              <w:t xml:space="preserve">Maßnahme</w:t>
            </w:r>
          </w:p>
        </w:tc>
        <w:tc>
          <w:tcPr>
            <w:tcW w:type="dxa" w:w="1600"/>
            <w:shd w:fill="1E3A5F" w:val="clear"/>
            <w:tcMar>
              <w:top w:type="dxa" w:w="100"/>
              <w:left w:type="dxa" w:w="100"/>
              <w:bottom w:type="dxa" w:w="100"/>
              <w:right w:type="dxa" w:w="100"/>
            </w:tcMar>
          </w:tcPr>
          <w:p>
            <w:r>
              <w:rPr>
                <w:b/>
                <w:bCs/>
                <w:color w:val="FFFFFF"/>
                <w:sz w:val="17"/>
                <w:szCs w:val="17"/>
              </w:rPr>
              <w:t xml:space="preserve">Geschwindigkeit</w:t>
            </w:r>
          </w:p>
        </w:tc>
        <w:tc>
          <w:tcPr>
            <w:tcW w:type="dxa" w:w="2100"/>
            <w:shd w:fill="1E3A5F" w:val="clear"/>
            <w:tcMar>
              <w:top w:type="dxa" w:w="100"/>
              <w:left w:type="dxa" w:w="100"/>
              <w:bottom w:type="dxa" w:w="100"/>
              <w:right w:type="dxa" w:w="100"/>
            </w:tcMar>
          </w:tcPr>
          <w:p>
            <w:r>
              <w:rPr>
                <w:b/>
                <w:bCs/>
                <w:color w:val="FFFFFF"/>
                <w:sz w:val="17"/>
                <w:szCs w:val="17"/>
              </w:rPr>
              <w:t xml:space="preserve">Finanzielle Wirkung</w:t>
            </w:r>
          </w:p>
        </w:tc>
        <w:tc>
          <w:tcPr>
            <w:tcW w:type="dxa" w:w="1600"/>
            <w:shd w:fill="1E3A5F" w:val="clear"/>
            <w:tcMar>
              <w:top w:type="dxa" w:w="100"/>
              <w:left w:type="dxa" w:w="100"/>
              <w:bottom w:type="dxa" w:w="100"/>
              <w:right w:type="dxa" w:w="100"/>
            </w:tcMar>
          </w:tcPr>
          <w:p>
            <w:r>
              <w:rPr>
                <w:b/>
                <w:bCs/>
                <w:color w:val="FFFFFF"/>
                <w:sz w:val="17"/>
                <w:szCs w:val="17"/>
              </w:rPr>
              <w:t xml:space="preserve">Aufwand</w:t>
            </w:r>
          </w:p>
        </w:tc>
        <w:tc>
          <w:tcPr>
            <w:tcW w:type="dxa" w:w="1226"/>
            <w:shd w:fill="1E3A5F" w:val="clear"/>
            <w:tcMar>
              <w:top w:type="dxa" w:w="100"/>
              <w:left w:type="dxa" w:w="100"/>
              <w:bottom w:type="dxa" w:w="100"/>
              <w:right w:type="dxa" w:w="100"/>
            </w:tcMar>
          </w:tcPr>
          <w:p>
            <w:r>
              <w:rPr>
                <w:b/>
                <w:bCs/>
                <w:color w:val="FFFFFF"/>
                <w:sz w:val="17"/>
                <w:szCs w:val="17"/>
              </w:rPr>
              <w:t xml:space="preserve">Kategorie</w:t>
            </w:r>
          </w:p>
        </w:tc>
      </w:tr>
      <w:tr>
        <w:trPr>
          <w:cantSplit/>
        </w:trPr>
        <w:tc>
          <w:tcPr>
            <w:tcW w:type="dxa" w:w="2500"/>
            <w:tcMar>
              <w:top w:type="dxa" w:w="90"/>
              <w:left w:type="dxa" w:w="100"/>
              <w:bottom w:type="dxa" w:w="90"/>
              <w:right w:type="dxa" w:w="100"/>
            </w:tcMar>
          </w:tcPr>
          <w:p>
            <w:r>
              <w:rPr>
                <w:b/>
                <w:bCs/>
                <w:sz w:val="17"/>
                <w:szCs w:val="17"/>
              </w:rPr>
              <w:t xml:space="preserve">1. Standby-Fresser eliminieren (LED-Tausch)</w:t>
            </w:r>
          </w:p>
        </w:tc>
        <w:tc>
          <w:tcPr>
            <w:tcW w:type="dxa" w:w="1600"/>
            <w:tcMar>
              <w:top w:type="dxa" w:w="90"/>
              <w:left w:type="dxa" w:w="100"/>
              <w:bottom w:type="dxa" w:w="90"/>
              <w:right w:type="dxa" w:w="100"/>
            </w:tcMar>
          </w:tcPr>
          <w:p>
            <w:r>
              <w:rPr>
                <w:b w:val="false"/>
                <w:bCs w:val="false"/>
                <w:sz w:val="17"/>
                <w:szCs w:val="17"/>
              </w:rPr>
              <w:t xml:space="preserve">Sofort (1 Tag)</w:t>
            </w:r>
          </w:p>
        </w:tc>
        <w:tc>
          <w:tcPr>
            <w:tcW w:type="dxa" w:w="2100"/>
            <w:tcMar>
              <w:top w:type="dxa" w:w="90"/>
              <w:left w:type="dxa" w:w="100"/>
              <w:bottom w:type="dxa" w:w="90"/>
              <w:right w:type="dxa" w:w="100"/>
            </w:tcMar>
          </w:tcPr>
          <w:p>
            <w:r>
              <w:rPr>
                <w:b w:val="false"/>
                <w:bCs w:val="false"/>
                <w:sz w:val="17"/>
                <w:szCs w:val="17"/>
              </w:rPr>
              <w:t xml:space="preserve">Hoch (100 €+ / Jahr)</w:t>
            </w:r>
          </w:p>
        </w:tc>
        <w:tc>
          <w:tcPr>
            <w:tcW w:type="dxa" w:w="1600"/>
            <w:tcMar>
              <w:top w:type="dxa" w:w="90"/>
              <w:left w:type="dxa" w:w="100"/>
              <w:bottom w:type="dxa" w:w="90"/>
              <w:right w:type="dxa" w:w="100"/>
            </w:tcMar>
          </w:tcPr>
          <w:p>
            <w:r>
              <w:rPr>
                <w:b w:val="false"/>
                <w:bCs w:val="false"/>
                <w:sz w:val="17"/>
                <w:szCs w:val="17"/>
              </w:rPr>
              <w:t xml:space="preserve">Sehr gering</w:t>
            </w:r>
          </w:p>
        </w:tc>
        <w:tc>
          <w:tcPr>
            <w:tcW w:type="dxa" w:w="1226"/>
            <w:tcMar>
              <w:top w:type="dxa" w:w="90"/>
              <w:left w:type="dxa" w:w="100"/>
              <w:bottom w:type="dxa" w:w="90"/>
              <w:right w:type="dxa" w:w="100"/>
            </w:tcMar>
          </w:tcPr>
          <w:p>
            <w:r>
              <w:rPr>
                <w:b w:val="false"/>
                <w:bCs w:val="false"/>
                <w:sz w:val="17"/>
                <w:szCs w:val="17"/>
              </w:rPr>
              <w:t xml:space="preserve">Strom</w:t>
            </w:r>
          </w:p>
        </w:tc>
      </w:tr>
      <w:tr>
        <w:trPr>
          <w:cantSplit/>
        </w:trPr>
        <w:tc>
          <w:tcPr>
            <w:tcW w:type="dxa" w:w="2500"/>
            <w:tcMar>
              <w:top w:type="dxa" w:w="90"/>
              <w:left w:type="dxa" w:w="100"/>
              <w:bottom w:type="dxa" w:w="90"/>
              <w:right w:type="dxa" w:w="100"/>
            </w:tcMar>
          </w:tcPr>
          <w:p>
            <w:r>
              <w:rPr>
                <w:b/>
                <w:bCs/>
                <w:sz w:val="17"/>
                <w:szCs w:val="17"/>
              </w:rPr>
              <w:t xml:space="preserve">2. E-Rechnungen/Abos kündigen &amp; wechseln</w:t>
            </w:r>
          </w:p>
        </w:tc>
        <w:tc>
          <w:tcPr>
            <w:tcW w:type="dxa" w:w="1600"/>
            <w:tcMar>
              <w:top w:type="dxa" w:w="90"/>
              <w:left w:type="dxa" w:w="100"/>
              <w:bottom w:type="dxa" w:w="90"/>
              <w:right w:type="dxa" w:w="100"/>
            </w:tcMar>
          </w:tcPr>
          <w:p>
            <w:r>
              <w:rPr>
                <w:b w:val="false"/>
                <w:bCs w:val="false"/>
                <w:sz w:val="17"/>
                <w:szCs w:val="17"/>
              </w:rPr>
              <w:t xml:space="preserve">Schnell (1–2 Tage)</w:t>
            </w:r>
          </w:p>
        </w:tc>
        <w:tc>
          <w:tcPr>
            <w:tcW w:type="dxa" w:w="2100"/>
            <w:tcMar>
              <w:top w:type="dxa" w:w="90"/>
              <w:left w:type="dxa" w:w="100"/>
              <w:bottom w:type="dxa" w:w="90"/>
              <w:right w:type="dxa" w:w="100"/>
            </w:tcMar>
          </w:tcPr>
          <w:p>
            <w:r>
              <w:rPr>
                <w:b w:val="false"/>
                <w:bCs w:val="false"/>
                <w:sz w:val="17"/>
                <w:szCs w:val="17"/>
              </w:rPr>
              <w:t xml:space="preserve">Sehr hoch (300–500 €/Jahr)</w:t>
            </w:r>
          </w:p>
        </w:tc>
        <w:tc>
          <w:tcPr>
            <w:tcW w:type="dxa" w:w="1600"/>
            <w:tcMar>
              <w:top w:type="dxa" w:w="90"/>
              <w:left w:type="dxa" w:w="100"/>
              <w:bottom w:type="dxa" w:w="90"/>
              <w:right w:type="dxa" w:w="100"/>
            </w:tcMar>
          </w:tcPr>
          <w:p>
            <w:r>
              <w:rPr>
                <w:b w:val="false"/>
                <w:bCs w:val="false"/>
                <w:sz w:val="17"/>
                <w:szCs w:val="17"/>
              </w:rPr>
              <w:t xml:space="preserve">Gering</w:t>
            </w:r>
          </w:p>
        </w:tc>
        <w:tc>
          <w:tcPr>
            <w:tcW w:type="dxa" w:w="1226"/>
            <w:tcMar>
              <w:top w:type="dxa" w:w="90"/>
              <w:left w:type="dxa" w:w="100"/>
              <w:bottom w:type="dxa" w:w="90"/>
              <w:right w:type="dxa" w:w="100"/>
            </w:tcMar>
          </w:tcPr>
          <w:p>
            <w:r>
              <w:rPr>
                <w:b w:val="false"/>
                <w:bCs w:val="false"/>
                <w:sz w:val="17"/>
                <w:szCs w:val="17"/>
              </w:rPr>
              <w:t xml:space="preserve">Abos</w:t>
            </w:r>
          </w:p>
        </w:tc>
      </w:tr>
      <w:tr>
        <w:trPr>
          <w:cantSplit/>
        </w:trPr>
        <w:tc>
          <w:tcPr>
            <w:tcW w:type="dxa" w:w="2500"/>
            <w:tcMar>
              <w:top w:type="dxa" w:w="90"/>
              <w:left w:type="dxa" w:w="100"/>
              <w:bottom w:type="dxa" w:w="90"/>
              <w:right w:type="dxa" w:w="100"/>
            </w:tcMar>
          </w:tcPr>
          <w:p>
            <w:r>
              <w:rPr>
                <w:b/>
                <w:bCs/>
                <w:sz w:val="17"/>
                <w:szCs w:val="17"/>
              </w:rPr>
              <w:t xml:space="preserve">3. WLAN &amp; Abos mit Nachbarn teilen</w:t>
            </w:r>
          </w:p>
        </w:tc>
        <w:tc>
          <w:tcPr>
            <w:tcW w:type="dxa" w:w="1600"/>
            <w:tcMar>
              <w:top w:type="dxa" w:w="90"/>
              <w:left w:type="dxa" w:w="100"/>
              <w:bottom w:type="dxa" w:w="90"/>
              <w:right w:type="dxa" w:w="100"/>
            </w:tcMar>
          </w:tcPr>
          <w:p>
            <w:r>
              <w:rPr>
                <w:b w:val="false"/>
                <w:bCs w:val="false"/>
                <w:sz w:val="17"/>
                <w:szCs w:val="17"/>
              </w:rPr>
              <w:t xml:space="preserve">Mittelschnell (1 Woche)</w:t>
            </w:r>
          </w:p>
        </w:tc>
        <w:tc>
          <w:tcPr>
            <w:tcW w:type="dxa" w:w="2100"/>
            <w:tcMar>
              <w:top w:type="dxa" w:w="90"/>
              <w:left w:type="dxa" w:w="100"/>
              <w:bottom w:type="dxa" w:w="90"/>
              <w:right w:type="dxa" w:w="100"/>
            </w:tcMar>
          </w:tcPr>
          <w:p>
            <w:r>
              <w:rPr>
                <w:b w:val="false"/>
                <w:bCs w:val="false"/>
                <w:sz w:val="17"/>
                <w:szCs w:val="17"/>
              </w:rPr>
              <w:t xml:space="preserve">Hoch (ca. 300 €/Jahr)</w:t>
            </w:r>
          </w:p>
        </w:tc>
        <w:tc>
          <w:tcPr>
            <w:tcW w:type="dxa" w:w="1600"/>
            <w:tcMar>
              <w:top w:type="dxa" w:w="90"/>
              <w:left w:type="dxa" w:w="100"/>
              <w:bottom w:type="dxa" w:w="90"/>
              <w:right w:type="dxa" w:w="100"/>
            </w:tcMar>
          </w:tcPr>
          <w:p>
            <w:r>
              <w:rPr>
                <w:b w:val="false"/>
                <w:bCs w:val="false"/>
                <w:sz w:val="17"/>
                <w:szCs w:val="17"/>
              </w:rPr>
              <w:t xml:space="preserve">Mittlerer Absprachebedarf</w:t>
            </w:r>
          </w:p>
        </w:tc>
        <w:tc>
          <w:tcPr>
            <w:tcW w:type="dxa" w:w="1226"/>
            <w:tcMar>
              <w:top w:type="dxa" w:w="90"/>
              <w:left w:type="dxa" w:w="100"/>
              <w:bottom w:type="dxa" w:w="90"/>
              <w:right w:type="dxa" w:w="100"/>
            </w:tcMar>
          </w:tcPr>
          <w:p>
            <w:r>
              <w:rPr>
                <w:b w:val="false"/>
                <w:bCs w:val="false"/>
                <w:sz w:val="17"/>
                <w:szCs w:val="17"/>
              </w:rPr>
              <w:t xml:space="preserve">Wohnen</w:t>
            </w:r>
          </w:p>
        </w:tc>
      </w:tr>
      <w:tr>
        <w:trPr>
          <w:cantSplit/>
        </w:trPr>
        <w:tc>
          <w:tcPr>
            <w:tcW w:type="dxa" w:w="2500"/>
            <w:tcMar>
              <w:top w:type="dxa" w:w="90"/>
              <w:left w:type="dxa" w:w="100"/>
              <w:bottom w:type="dxa" w:w="90"/>
              <w:right w:type="dxa" w:w="100"/>
            </w:tcMar>
          </w:tcPr>
          <w:p>
            <w:r>
              <w:rPr>
                <w:b/>
                <w:bCs/>
                <w:sz w:val="17"/>
                <w:szCs w:val="17"/>
              </w:rPr>
              <w:t xml:space="preserve">4. Vom Gym zur Garage wechseln</w:t>
            </w:r>
          </w:p>
        </w:tc>
        <w:tc>
          <w:tcPr>
            <w:tcW w:type="dxa" w:w="1600"/>
            <w:tcMar>
              <w:top w:type="dxa" w:w="90"/>
              <w:left w:type="dxa" w:w="100"/>
              <w:bottom w:type="dxa" w:w="90"/>
              <w:right w:type="dxa" w:w="100"/>
            </w:tcMar>
          </w:tcPr>
          <w:p>
            <w:r>
              <w:rPr>
                <w:b w:val="false"/>
                <w:bCs w:val="false"/>
                <w:sz w:val="17"/>
                <w:szCs w:val="17"/>
              </w:rPr>
              <w:t xml:space="preserve">Mittel (1–2 Wochen)</w:t>
            </w:r>
          </w:p>
        </w:tc>
        <w:tc>
          <w:tcPr>
            <w:tcW w:type="dxa" w:w="2100"/>
            <w:tcMar>
              <w:top w:type="dxa" w:w="90"/>
              <w:left w:type="dxa" w:w="100"/>
              <w:bottom w:type="dxa" w:w="90"/>
              <w:right w:type="dxa" w:w="100"/>
            </w:tcMar>
          </w:tcPr>
          <w:p>
            <w:r>
              <w:rPr>
                <w:b w:val="false"/>
                <w:bCs w:val="false"/>
                <w:sz w:val="17"/>
                <w:szCs w:val="17"/>
              </w:rPr>
              <w:t xml:space="preserve">Hoch (150–500 €/Jahr)</w:t>
            </w:r>
          </w:p>
        </w:tc>
        <w:tc>
          <w:tcPr>
            <w:tcW w:type="dxa" w:w="1600"/>
            <w:tcMar>
              <w:top w:type="dxa" w:w="90"/>
              <w:left w:type="dxa" w:w="100"/>
              <w:bottom w:type="dxa" w:w="90"/>
              <w:right w:type="dxa" w:w="100"/>
            </w:tcMar>
          </w:tcPr>
          <w:p>
            <w:r>
              <w:rPr>
                <w:b w:val="false"/>
                <w:bCs w:val="false"/>
                <w:sz w:val="17"/>
                <w:szCs w:val="17"/>
              </w:rPr>
              <w:t xml:space="preserve">Mittel</w:t>
            </w:r>
          </w:p>
        </w:tc>
        <w:tc>
          <w:tcPr>
            <w:tcW w:type="dxa" w:w="1226"/>
            <w:tcMar>
              <w:top w:type="dxa" w:w="90"/>
              <w:left w:type="dxa" w:w="100"/>
              <w:bottom w:type="dxa" w:w="90"/>
              <w:right w:type="dxa" w:w="100"/>
            </w:tcMar>
          </w:tcPr>
          <w:p>
            <w:r>
              <w:rPr>
                <w:b w:val="false"/>
                <w:bCs w:val="false"/>
                <w:sz w:val="17"/>
                <w:szCs w:val="17"/>
              </w:rPr>
              <w:t xml:space="preserve">Freizeit</w:t>
            </w:r>
          </w:p>
        </w:tc>
      </w:tr>
      <w:tr>
        <w:trPr>
          <w:cantSplit/>
        </w:trPr>
        <w:tc>
          <w:tcPr>
            <w:tcW w:type="dxa" w:w="2500"/>
            <w:tcMar>
              <w:top w:type="dxa" w:w="90"/>
              <w:left w:type="dxa" w:w="100"/>
              <w:bottom w:type="dxa" w:w="90"/>
              <w:right w:type="dxa" w:w="100"/>
            </w:tcMar>
          </w:tcPr>
          <w:p>
            <w:r>
              <w:rPr>
                <w:b/>
                <w:bCs/>
                <w:sz w:val="17"/>
                <w:szCs w:val="17"/>
              </w:rPr>
              <w:t xml:space="preserve">5. Balkon-/Zaunkraftwerk</w:t>
            </w:r>
          </w:p>
        </w:tc>
        <w:tc>
          <w:tcPr>
            <w:tcW w:type="dxa" w:w="1600"/>
            <w:tcMar>
              <w:top w:type="dxa" w:w="90"/>
              <w:left w:type="dxa" w:w="100"/>
              <w:bottom w:type="dxa" w:w="90"/>
              <w:right w:type="dxa" w:w="100"/>
            </w:tcMar>
          </w:tcPr>
          <w:p>
            <w:r>
              <w:rPr>
                <w:b w:val="false"/>
                <w:bCs w:val="false"/>
                <w:sz w:val="17"/>
                <w:szCs w:val="17"/>
              </w:rPr>
              <w:t xml:space="preserve">Mittel (1–2 Wochen)</w:t>
            </w:r>
          </w:p>
        </w:tc>
        <w:tc>
          <w:tcPr>
            <w:tcW w:type="dxa" w:w="2100"/>
            <w:tcMar>
              <w:top w:type="dxa" w:w="90"/>
              <w:left w:type="dxa" w:w="100"/>
              <w:bottom w:type="dxa" w:w="90"/>
              <w:right w:type="dxa" w:w="100"/>
            </w:tcMar>
          </w:tcPr>
          <w:p>
            <w:r>
              <w:rPr>
                <w:b w:val="false"/>
                <w:bCs w:val="false"/>
                <w:sz w:val="17"/>
                <w:szCs w:val="17"/>
              </w:rPr>
              <w:t xml:space="preserve">Extrem hoch (dauerhaft)</w:t>
            </w:r>
          </w:p>
        </w:tc>
        <w:tc>
          <w:tcPr>
            <w:tcW w:type="dxa" w:w="1600"/>
            <w:tcMar>
              <w:top w:type="dxa" w:w="90"/>
              <w:left w:type="dxa" w:w="100"/>
              <w:bottom w:type="dxa" w:w="90"/>
              <w:right w:type="dxa" w:w="100"/>
            </w:tcMar>
          </w:tcPr>
          <w:p>
            <w:r>
              <w:rPr>
                <w:b w:val="false"/>
                <w:bCs w:val="false"/>
                <w:sz w:val="17"/>
                <w:szCs w:val="17"/>
              </w:rPr>
              <w:t xml:space="preserve">Einmalig technisch</w:t>
            </w:r>
          </w:p>
        </w:tc>
        <w:tc>
          <w:tcPr>
            <w:tcW w:type="dxa" w:w="1226"/>
            <w:tcMar>
              <w:top w:type="dxa" w:w="90"/>
              <w:left w:type="dxa" w:w="100"/>
              <w:bottom w:type="dxa" w:w="90"/>
              <w:right w:type="dxa" w:w="100"/>
            </w:tcMar>
          </w:tcPr>
          <w:p>
            <w:r>
              <w:rPr>
                <w:b w:val="false"/>
                <w:bCs w:val="false"/>
                <w:sz w:val="17"/>
                <w:szCs w:val="17"/>
              </w:rPr>
              <w:t xml:space="preserve">Strom</w:t>
            </w:r>
          </w:p>
        </w:tc>
      </w:tr>
      <w:tr>
        <w:trPr>
          <w:cantSplit/>
        </w:trPr>
        <w:tc>
          <w:tcPr>
            <w:tcW w:type="dxa" w:w="2500"/>
            <w:tcMar>
              <w:top w:type="dxa" w:w="90"/>
              <w:left w:type="dxa" w:w="100"/>
              <w:bottom w:type="dxa" w:w="90"/>
              <w:right w:type="dxa" w:w="100"/>
            </w:tcMar>
          </w:tcPr>
          <w:p>
            <w:r>
              <w:rPr>
                <w:b/>
                <w:bCs/>
                <w:sz w:val="17"/>
                <w:szCs w:val="17"/>
              </w:rPr>
              <w:t xml:space="preserve">6. Saisonaler Großeinkauf beim Bauern</w:t>
            </w:r>
          </w:p>
        </w:tc>
        <w:tc>
          <w:tcPr>
            <w:tcW w:type="dxa" w:w="1600"/>
            <w:tcMar>
              <w:top w:type="dxa" w:w="90"/>
              <w:left w:type="dxa" w:w="100"/>
              <w:bottom w:type="dxa" w:w="90"/>
              <w:right w:type="dxa" w:w="100"/>
            </w:tcMar>
          </w:tcPr>
          <w:p>
            <w:r>
              <w:rPr>
                <w:b w:val="false"/>
                <w:bCs w:val="false"/>
                <w:sz w:val="17"/>
                <w:szCs w:val="17"/>
              </w:rPr>
              <w:t xml:space="preserve">Langsam (fortlaufend)</w:t>
            </w:r>
          </w:p>
        </w:tc>
        <w:tc>
          <w:tcPr>
            <w:tcW w:type="dxa" w:w="2100"/>
            <w:tcMar>
              <w:top w:type="dxa" w:w="90"/>
              <w:left w:type="dxa" w:w="100"/>
              <w:bottom w:type="dxa" w:w="90"/>
              <w:right w:type="dxa" w:w="100"/>
            </w:tcMar>
          </w:tcPr>
          <w:p>
            <w:r>
              <w:rPr>
                <w:b w:val="false"/>
                <w:bCs w:val="false"/>
                <w:sz w:val="17"/>
                <w:szCs w:val="17"/>
              </w:rPr>
              <w:t xml:space="preserve">Mittel (monatlich)</w:t>
            </w:r>
          </w:p>
        </w:tc>
        <w:tc>
          <w:tcPr>
            <w:tcW w:type="dxa" w:w="1600"/>
            <w:tcMar>
              <w:top w:type="dxa" w:w="90"/>
              <w:left w:type="dxa" w:w="100"/>
              <w:bottom w:type="dxa" w:w="90"/>
              <w:right w:type="dxa" w:w="100"/>
            </w:tcMar>
          </w:tcPr>
          <w:p>
            <w:r>
              <w:rPr>
                <w:b w:val="false"/>
                <w:bCs w:val="false"/>
                <w:sz w:val="17"/>
                <w:szCs w:val="17"/>
              </w:rPr>
              <w:t xml:space="preserve">Logistischer Aufwand</w:t>
            </w:r>
          </w:p>
        </w:tc>
        <w:tc>
          <w:tcPr>
            <w:tcW w:type="dxa" w:w="1226"/>
            <w:tcMar>
              <w:top w:type="dxa" w:w="90"/>
              <w:left w:type="dxa" w:w="100"/>
              <w:bottom w:type="dxa" w:w="90"/>
              <w:right w:type="dxa" w:w="100"/>
            </w:tcMar>
          </w:tcPr>
          <w:p>
            <w:r>
              <w:rPr>
                <w:b w:val="false"/>
                <w:bCs w:val="false"/>
                <w:sz w:val="17"/>
                <w:szCs w:val="17"/>
              </w:rPr>
              <w:t xml:space="preserve">Ernährung</w:t>
            </w:r>
          </w:p>
        </w:tc>
      </w:tr>
    </w:tbl>
    <w:p>
      <w:r>
        <w:br w:type="page"/>
      </w:r>
    </w:p>
    <w:p>
      <w:pPr>
        <w:pStyle w:val="Heading1"/>
        <w:spacing w:after="240" w:before="480"/>
      </w:pPr>
      <w:r>
        <w:t xml:space="preserve">Fazit: Das System arbeitet für Sie</w:t>
      </w:r>
    </w:p>
    <w:p>
      <w:pPr>
        <w:spacing w:after="260" w:line="340"/>
        <w:jc w:val="both"/>
      </w:pPr>
      <w:r>
        <w:t xml:space="preserve">Finanzielle Freiheit und ein prall gefülltes Konto sind kein Zufallsprodukt und erfordern keinen permanenten Verzicht. Indem Sie Ihr persönliches Kontrollzentrum in Excel aufbauen, Fristen im Blick behalten, technologische Innovationen wie Zaun-Solar nutzen und im Kollektiv mit Ihren Nachbarn agieren, schlagen Sie das System mit seinen eigenen Waffen. Starten Sie Ihr 2-Monate-Experiment noch heute!</w:t>
      </w:r>
    </w:p>
    <w:p>
      <w:r>
        <w:br w:type="page"/>
      </w:r>
    </w:p>
    <w:p>
      <w:pPr>
        <w:pStyle w:val="Heading1"/>
        <w:spacing w:after="240" w:before="480"/>
      </w:pPr>
      <w:r>
        <w:t xml:space="preserve">Anhang: Schritt-für-Schritt-Anleitung für Ihre Excel-Tabelle</w:t>
      </w:r>
    </w:p>
    <w:p>
      <w:pPr>
        <w:spacing w:after="260" w:line="340"/>
        <w:jc w:val="both"/>
      </w:pPr>
      <w:r>
        <w:t xml:space="preserve">Damit Ihr digitales Kontrollzentrum reibungslos funktioniert, finden Sie hier die exakte Struktur der drei wichtigsten Reiter sowie die Formeln für Ihr automatisiertes Fristen-Radar.</w:t>
      </w:r>
    </w:p>
    <w:p>
      <w:pPr>
        <w:pStyle w:val="Heading2"/>
        <w:spacing w:after="160" w:before="320"/>
      </w:pPr>
      <w:r>
        <w:t xml:space="preserve">1. Der Aufbau der Tabellenreiter</w:t>
      </w:r>
    </w:p>
    <w:p>
      <w:pPr>
        <w:pStyle w:val="Heading3"/>
        <w:spacing w:after="100" w:before="200"/>
      </w:pPr>
      <w:r>
        <w:t xml:space="preserve">Reiter 1: „Fixkosten-Radar“</w:t>
      </w:r>
    </w:p>
    <w:p>
      <w:pPr>
        <w:spacing w:after="260" w:line="340"/>
        <w:jc w:val="both"/>
      </w:pPr>
      <w:r>
        <w:t xml:space="preserve">Dieser Reiter überwacht die großen, wiederkehrenden Verträge und unregelmäßigen Abbuchungen (Kfz-Steuer, Versicherungen etc.).</w:t>
      </w:r>
    </w:p>
    <w:p>
      <w:pPr>
        <w:pStyle w:val="ListParagraph"/>
        <w:numPr>
          <w:ilvl w:val="0"/>
          <w:numId w:val="2"/>
        </w:numPr>
        <w:spacing w:after="120"/>
      </w:pPr>
      <w:r>
        <w:t xml:space="preserve">Spalte A: Vertrag / Posten (z. B. „Kfz-Steuer Auto“)</w:t>
      </w:r>
    </w:p>
    <w:p>
      <w:pPr>
        <w:pStyle w:val="ListParagraph"/>
        <w:numPr>
          <w:ilvl w:val="0"/>
          <w:numId w:val="2"/>
        </w:numPr>
        <w:spacing w:after="120"/>
      </w:pPr>
      <w:r>
        <w:t xml:space="preserve">Spalte B: Intervall (z. B. „Jährlich“)</w:t>
      </w:r>
    </w:p>
    <w:p>
      <w:pPr>
        <w:pStyle w:val="ListParagraph"/>
        <w:numPr>
          <w:ilvl w:val="0"/>
          <w:numId w:val="2"/>
        </w:numPr>
        <w:spacing w:after="120"/>
      </w:pPr>
      <w:r>
        <w:t xml:space="preserve">Spalte C: Betrag in €</w:t>
      </w:r>
    </w:p>
    <w:p>
      <w:pPr>
        <w:pStyle w:val="ListParagraph"/>
        <w:numPr>
          <w:ilvl w:val="0"/>
          <w:numId w:val="2"/>
        </w:numPr>
        <w:spacing w:after="120"/>
      </w:pPr>
      <w:r>
        <w:t xml:space="preserve">Spalte D: Fälligkeitsmonat</w:t>
      </w:r>
    </w:p>
    <w:p>
      <w:pPr>
        <w:pStyle w:val="ListParagraph"/>
        <w:numPr>
          <w:ilvl w:val="0"/>
          <w:numId w:val="2"/>
        </w:numPr>
        <w:spacing w:after="120"/>
      </w:pPr>
      <w:r>
        <w:t xml:space="preserve">Spalte E: Status („Dauerauftrag“/„Lastschrift“)</w:t>
      </w:r>
    </w:p>
    <w:p>
      <w:pPr>
        <w:pStyle w:val="Heading3"/>
        <w:spacing w:after="100" w:before="200"/>
      </w:pPr>
      <w:r>
        <w:t xml:space="preserve">Reiter 2: „Abo-Grab &amp; Kündigungs-Wecker“</w:t>
      </w:r>
    </w:p>
    <w:p>
      <w:pPr>
        <w:spacing w:after="260" w:line="340"/>
        <w:jc w:val="both"/>
      </w:pPr>
      <w:r>
        <w:t xml:space="preserve">Hier schlagen Sie die Abofallen mit harten Daten. Dieser Bereich nutzt die automatisierte Warnfunktion.</w:t>
      </w:r>
    </w:p>
    <w:p>
      <w:pPr>
        <w:pStyle w:val="ListParagraph"/>
        <w:numPr>
          <w:ilvl w:val="0"/>
          <w:numId w:val="2"/>
        </w:numPr>
        <w:spacing w:after="120"/>
      </w:pPr>
      <w:r>
        <w:t xml:space="preserve">Spalte A: Anbieter / Dienst</w:t>
      </w:r>
    </w:p>
    <w:p>
      <w:pPr>
        <w:pStyle w:val="ListParagraph"/>
        <w:numPr>
          <w:ilvl w:val="0"/>
          <w:numId w:val="2"/>
        </w:numPr>
        <w:spacing w:after="120"/>
      </w:pPr>
      <w:r>
        <w:t xml:space="preserve">Spalte B: Monatliche Kosten in €</w:t>
      </w:r>
    </w:p>
    <w:p>
      <w:pPr>
        <w:pStyle w:val="ListParagraph"/>
        <w:numPr>
          <w:ilvl w:val="0"/>
          <w:numId w:val="2"/>
        </w:numPr>
        <w:spacing w:after="120"/>
      </w:pPr>
      <w:r>
        <w:t xml:space="preserve">Spalte C: Vertrag läuft bis (DD.MM.YYYY)</w:t>
      </w:r>
    </w:p>
    <w:p>
      <w:pPr>
        <w:pStyle w:val="ListParagraph"/>
        <w:numPr>
          <w:ilvl w:val="0"/>
          <w:numId w:val="2"/>
        </w:numPr>
        <w:spacing w:after="120"/>
      </w:pPr>
      <w:r>
        <w:t xml:space="preserve">Spalte D: Kündigungsfrist in Monaten</w:t>
      </w:r>
    </w:p>
    <w:p>
      <w:pPr>
        <w:pStyle w:val="ListParagraph"/>
        <w:numPr>
          <w:ilvl w:val="0"/>
          <w:numId w:val="2"/>
        </w:numPr>
        <w:spacing w:after="120"/>
      </w:pPr>
      <w:r>
        <w:t xml:space="preserve">Spalte E: Spätestes Kündigungsdatum (Formel 1)</w:t>
      </w:r>
    </w:p>
    <w:p>
      <w:pPr>
        <w:pStyle w:val="ListParagraph"/>
        <w:numPr>
          <w:ilvl w:val="0"/>
          <w:numId w:val="2"/>
        </w:numPr>
        <w:spacing w:after="120"/>
      </w:pPr>
      <w:r>
        <w:t xml:space="preserve">Spalte F: Tage bis zur Kündigung (Formel 2)</w:t>
      </w:r>
    </w:p>
    <w:p>
      <w:pPr>
        <w:pStyle w:val="Heading3"/>
        <w:spacing w:after="100" w:before="200"/>
      </w:pPr>
      <w:r>
        <w:t xml:space="preserve">Reiter 3: „Bürokratie- &amp; Score-Tracker“</w:t>
      </w:r>
    </w:p>
    <w:p>
      <w:pPr>
        <w:spacing w:after="260" w:line="340"/>
        <w:jc w:val="both"/>
      </w:pPr>
      <w:r>
        <w:t xml:space="preserve">Ein einfacher Bereich, um Ihre finanzielle und rechtliche Gesundheit einmal im Jahr zu protokollieren.</w:t>
      </w:r>
    </w:p>
    <w:p>
      <w:pPr>
        <w:pStyle w:val="ListParagraph"/>
        <w:numPr>
          <w:ilvl w:val="0"/>
          <w:numId w:val="2"/>
        </w:numPr>
        <w:spacing w:after="120"/>
      </w:pPr>
      <w:r>
        <w:t xml:space="preserve">Spalte A: Kennzahl (z. B. „Schufa-Score“)</w:t>
      </w:r>
    </w:p>
    <w:p>
      <w:pPr>
        <w:pStyle w:val="ListParagraph"/>
        <w:numPr>
          <w:ilvl w:val="0"/>
          <w:numId w:val="2"/>
        </w:numPr>
        <w:spacing w:after="120"/>
      </w:pPr>
      <w:r>
        <w:t xml:space="preserve">Spalte B: Aktueller Wert</w:t>
      </w:r>
    </w:p>
    <w:p>
      <w:pPr>
        <w:pStyle w:val="ListParagraph"/>
        <w:numPr>
          <w:ilvl w:val="0"/>
          <w:numId w:val="2"/>
        </w:numPr>
        <w:spacing w:after="120"/>
      </w:pPr>
      <w:r>
        <w:t xml:space="preserve">Spalte C: Datum der letzten Abfrage</w:t>
      </w:r>
    </w:p>
    <w:p>
      <w:pPr>
        <w:pStyle w:val="ListParagraph"/>
        <w:numPr>
          <w:ilvl w:val="0"/>
          <w:numId w:val="2"/>
        </w:numPr>
        <w:spacing w:after="120"/>
      </w:pPr>
      <w:r>
        <w:t xml:space="preserve">Spalte D: Link zur kostenlosen Abfrage</w:t>
      </w:r>
    </w:p>
    <w:p>
      <w:pPr>
        <w:pStyle w:val="Heading2"/>
        <w:spacing w:after="160" w:before="320"/>
      </w:pPr>
      <w:r>
        <w:t xml:space="preserve">2. Die Excel-Formeln für den Kündigungs-Wecker</w:t>
      </w:r>
    </w:p>
    <w:p>
      <w:pPr>
        <w:spacing w:after="260" w:line="340"/>
        <w:jc w:val="both"/>
      </w:pPr>
      <w:r>
        <w:t xml:space="preserve">Geben Sie diese Formeln in die jeweilige Zelle in Zeile 2 Ihres Excel-Blatts ein und ziehen Sie sie für alle weiteren Verträge nach unten:</w:t>
      </w:r>
    </w:p>
    <w:p>
      <w:pPr>
        <w:pStyle w:val="Heading3"/>
        <w:spacing w:after="100" w:before="200"/>
      </w:pPr>
      <w:r>
        <w:t xml:space="preserve">Formel 1: Spätestes Kündigungsdatum berechnen (Spalte E)</w:t>
      </w:r>
    </w:p>
    <w:p>
      <w:pPr>
        <w:spacing w:after="260" w:line="340"/>
        <w:jc w:val="both"/>
      </w:pPr>
      <w:r>
        <w:t xml:space="preserve">Diese Formel nimmt das Enddatum des Vertrags (Spalte C) und zieht automatisch die Kündigungsfrist in Monaten (Spalte D) ab. Sie wissen sofort, an welchem Tag die Kündigung spätestens auf dem Tisch des Anbieters liegen muss.</w:t>
      </w:r>
    </w:p>
    <w:p>
      <w:pPr>
        <w:spacing w:after="260" w:line="340"/>
        <w:jc w:val="both"/>
      </w:pPr>
      <w:r>
        <w:t xml:space="preserve">Formel: =EDATUM(C2; -D2)</w:t>
      </w:r>
    </w:p>
    <w:p>
      <w:pPr>
        <w:spacing w:after="260" w:line="340"/>
        <w:jc w:val="both"/>
      </w:pPr>
      <w:r>
        <w:t xml:space="preserve">Hinweis: Formatieren Sie diese Spalte in Excel unbedingt als „Datum“.</w:t>
      </w:r>
    </w:p>
    <w:p>
      <w:pPr>
        <w:pStyle w:val="Heading3"/>
        <w:spacing w:after="100" w:before="200"/>
      </w:pPr>
      <w:r>
        <w:t xml:space="preserve">Formel 2: Countdown-Tage bis zur Kündigung (Spalte F)</w:t>
      </w:r>
    </w:p>
    <w:p>
      <w:pPr>
        <w:spacing w:after="260" w:line="340"/>
        <w:jc w:val="both"/>
      </w:pPr>
      <w:r>
        <w:t xml:space="preserve">Diese Formel berechnet tagesaktuell, wie viele Tage Ihnen noch zum Handeln bleiben.</w:t>
      </w:r>
    </w:p>
    <w:p>
      <w:pPr>
        <w:spacing w:after="260" w:line="340"/>
        <w:jc w:val="both"/>
      </w:pPr>
      <w:r>
        <w:t xml:space="preserve">Formel: =E2-HEUTE()</w:t>
      </w:r>
    </w:p>
    <w:p>
      <w:pPr>
        <w:spacing w:after="260" w:line="340"/>
        <w:jc w:val="both"/>
      </w:pPr>
      <w:r>
        <w:t xml:space="preserve">Hinweis: Formatieren Sie diese Spalte als „Zahl“ (ohne Nachkommastellen). Wenn das Ergebnis negativ ist, haben Sie die Frist für diese Laufzeit bereits verpasst.</w:t>
      </w:r>
    </w:p>
    <w:p>
      <w:pPr>
        <w:pStyle w:val="Heading2"/>
        <w:spacing w:after="160" w:before="320"/>
      </w:pPr>
      <w:r>
        <w:t xml:space="preserve">3. Die Ampel-Warnung einrichten (Bedingte Formatierung)</w:t>
      </w:r>
    </w:p>
    <w:p>
      <w:pPr>
        <w:spacing w:after="260" w:line="340"/>
        <w:jc w:val="both"/>
      </w:pPr>
      <w:r>
        <w:t xml:space="preserve">Damit Ihnen kritische Fristen sofort ins Auge springen, richten wir in Spalte F eine automatische Farbwarnung ein:</w:t>
      </w:r>
    </w:p>
    <w:p>
      <w:pPr>
        <w:pStyle w:val="ListParagraph"/>
        <w:numPr>
          <w:ilvl w:val="0"/>
          <w:numId w:val="2"/>
        </w:numPr>
        <w:spacing w:after="120"/>
      </w:pPr>
      <w:r>
        <w:t xml:space="preserve">Markieren Sie die gesamte Spalte F.</w:t>
      </w:r>
    </w:p>
    <w:p>
      <w:pPr>
        <w:pStyle w:val="ListParagraph"/>
        <w:numPr>
          <w:ilvl w:val="0"/>
          <w:numId w:val="2"/>
        </w:numPr>
        <w:spacing w:after="120"/>
      </w:pPr>
      <w:r>
        <w:t xml:space="preserve">Klicken Sie im Excel-Menü auf Start → Bedingte Formatierung → Neue Regel.</w:t>
      </w:r>
    </w:p>
    <w:p>
      <w:pPr>
        <w:pStyle w:val="ListParagraph"/>
        <w:numPr>
          <w:ilvl w:val="0"/>
          <w:numId w:val="2"/>
        </w:numPr>
        <w:spacing w:after="120"/>
      </w:pPr>
      <w:r>
        <w:t xml:space="preserve">Wählen Sie: „Nur Zellen formatieren, die enthalten“.</w:t>
      </w:r>
    </w:p>
    <w:p>
      <w:pPr>
        <w:pStyle w:val="ListParagraph"/>
        <w:numPr>
          <w:ilvl w:val="0"/>
          <w:numId w:val="2"/>
        </w:numPr>
        <w:spacing w:after="120"/>
      </w:pPr>
      <w:r>
        <w:t xml:space="preserve">Stellen Sie die Bedingung ein: Zellwert → zwischen → 0 und 30.</w:t>
      </w:r>
    </w:p>
    <w:p>
      <w:pPr>
        <w:pStyle w:val="ListParagraph"/>
        <w:numPr>
          <w:ilvl w:val="0"/>
          <w:numId w:val="2"/>
        </w:numPr>
        <w:spacing w:after="120"/>
      </w:pPr>
      <w:r>
        <w:t xml:space="preserve">Klicken Sie auf Formatieren, wählen Sie unter „Ausfüllen“ eine rote oder orange Warnfarbe und bestätigen Sie mit OK.</w:t>
      </w:r>
    </w:p>
    <w:p>
      <w:pPr>
        <w:spacing w:after="260" w:line="340"/>
        <w:jc w:val="both"/>
      </w:pPr>
      <w:r>
        <w:t xml:space="preserve">Das Ergebnis: Sobald ein Vertrag nur noch 30 Tage oder weniger vom Kündigungsstichtag entfernt ist, leuchtet die Zeile in Ihrer Tabelle automatisch auf. Ihr Fristen-Radar funktioniert!</w:t>
      </w:r>
    </w:p>
    <w:p>
      <w:pPr>
        <w:spacing w:before="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E3A5F" w:sz="12"/>
              <w:left w:val="single" w:color="1E3A5F" w:sz="24"/>
              <w:bottom w:val="single" w:color="1E3A5F" w:sz="12"/>
              <w:right w:val="single" w:color="1E3A5F" w:sz="12"/>
            </w:tcBorders>
            <w:shd w:fill="EAF1FB" w:val="clear"/>
            <w:tcMar>
              <w:top w:type="dxa" w:w="200"/>
              <w:left w:type="dxa" w:w="200"/>
              <w:bottom w:type="dxa" w:w="200"/>
              <w:right w:type="dxa" w:w="200"/>
            </w:tcMar>
          </w:tcPr>
          <w:p>
            <w:pPr>
              <w:spacing w:after="0"/>
            </w:pPr>
            <w:r>
              <w:rPr>
                <w:b/>
                <w:bCs/>
              </w:rPr>
              <w:t xml:space="preserve">Dieses E-Book ist Bildungsmaterial und spiegelt persönliche Erfahrungen und Faustregeln wider – keine Finanz-, Steuer- oder technische Beratung. Preise, Ersparnis-Schätzungen und rechtliche Rahmenbedingungen (z. B. bei Balkonkraftwerken, Kündigungsfristen oder DSGVO-Auskünften) ändern sich – bitte vor konkreten Entscheidungen aktuelle Quellen und ggf. Fachberatung heranziehen. Stand der Recherche: August 2026.</w:t>
            </w:r>
          </w:p>
        </w:tc>
      </w:tr>
    </w:tbl>
    <w:sectPr>
      <w:headerReference w:type="default" r:id="rId7"/>
      <w:footerReference w:type="default" r:id="rId8"/>
      <w:footerReference w:type="first" r:id="rId9"/>
      <w:pgSz w:w="11906" w:h="16838" w:orient="portrait"/>
      <w:pgMar w:top="1300" w:right="1400" w:bottom="1300" w:left="14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60" w:before="500"/>
    </w:pPr>
    <w:rPr>
      <w:rFonts w:ascii="Calibri" w:cs="Calibri" w:eastAsia="Calibri" w:hAnsi="Calibri"/>
      <w:b/>
      <w:bCs/>
      <w:color w:val="1E3A5F"/>
      <w:sz w:val="34"/>
      <w:szCs w:val="34"/>
    </w:rPr>
  </w:style>
  <w:style w:type="paragraph" w:styleId="Heading2">
    <w:name w:val="Heading 2"/>
    <w:basedOn w:val="Normal"/>
    <w:next w:val="Normal"/>
    <w:qFormat/>
    <w:pPr>
      <w:spacing w:after="180" w:before="340"/>
    </w:pPr>
    <w:rPr>
      <w:rFonts w:ascii="Calibri" w:cs="Calibri" w:eastAsia="Calibri" w:hAnsi="Calibri"/>
      <w:b/>
      <w:bCs/>
      <w:color w:val="1E3A5F"/>
      <w:sz w:val="28"/>
      <w:szCs w:val="28"/>
    </w:rPr>
  </w:style>
  <w:style w:type="paragraph" w:styleId="Heading3">
    <w:name w:val="Heading 3"/>
    <w:basedOn w:val="Normal"/>
    <w:next w:val="Normal"/>
    <w:qFormat/>
    <w:pPr>
      <w:spacing w:after="120" w:before="240"/>
    </w:pPr>
    <w:rPr>
      <w:rFonts w:ascii="Calibri" w:cs="Calibri" w:eastAsia="Calibri" w:hAnsi="Calibri"/>
      <w:b/>
      <w:bCs/>
      <w:color w:val="1E8E5A"/>
      <w:sz w:val="25"/>
      <w:szCs w:val="25"/>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2026-08-10T02:18:06.845Z</dcterms:created>
  <dcterms:modified xsi:type="dcterms:W3CDTF">2026-08-10T02:18:06.845Z</dcterms:modified>
</cp:coreProperties>
</file>

<file path=docProps/custom.xml><?xml version="1.0" encoding="utf-8"?>
<Properties xmlns="http://schemas.openxmlformats.org/officeDocument/2006/custom-properties" xmlns:vt="http://schemas.openxmlformats.org/officeDocument/2006/docPropsVTypes"/>
</file>